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EG-FGV 2011</w:t>
      </w:r>
    </w:p>
    <w:p>
      <w:r>
        <w:rPr>
          <w:color w:val="555555"/>
          <w:sz w:val="18"/>
        </w:rPr>
        <w:t xml:space="preserve">EG-Fahrzeuggenehmigungsverordnung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 Absatz 1 Nummer 2 Buchstabe a bis c, e bis k, t bis v und Nummer 7 und Absatz 3a des Straßenverkehrsgesetzes in der Fassung der Bekanntmachung vom 5. März 2003 (BGBl. I S. 310, 919), von denen § 6 Absatz 1 Nummer 2 Buchstabe b durch Artikel 1 Nummer 2 Buchstabe a Doppelbuchstabe aa des Gesetzes vom 3. Mai 2005 (BGBl. I S. 1221) geändert und § 6 Absatz 3a durch Artikel 1 Nummer 1 des Gesetzes vom 22. Dezember 2008 (BGBl. I S. 2965) eingefügt worden sind, verordnet das Bundesministerium für Verkehr, Bau und Stadtentwicklung,</w:t>
      </w:r>
    </w:p>
    <w:p>
      <w:pPr>
        <w:ind w:left="420"/>
      </w:pPr>
      <w:r>
        <w:t xml:space="preserve">– des § 6 Absatz 1 Nummer 5a und 7 in Verbindung mit Absatz 2a des Straßenverkehrsgesetzes in der Fassung der Bekanntmachung vom 5. März 2003 (BGBl. I S. 310, 919) verordnen das Bundesministerium für Verkehr, Bau und Stadtentwicklung und das Bundesministerium für Umwelt, Naturschutz und Reaktorsicherheit,</w:t>
      </w:r>
    </w:p>
    <w:p>
      <w:pPr>
        <w:ind w:left="420"/>
      </w:pPr>
      <w:r>
        <w:t xml:space="preserve">– des § 6 Absatz 1 Nummer 10 in Verbindung mit Absatz 2 des Straßenverkehrsgesetzes in der Fassung der Bekanntmachung vom 5. März 2003 (BGBl. I S. 310, 919) verordnen das Bundesministerium für Verkehr, Bau und Stadtentwicklung und das Bundesministerium des Innern:</w:t>
      </w:r>
    </w:p>
    <w:p>
      <w:r>
        <w:rPr>
          <w:color w:val="555555"/>
          <w:sz w:val="17"/>
        </w:rPr>
        <w:t xml:space="preserve">Zitiervorschlag: Eingangsformel EG-FGV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https://recht.nulegal.eu/gesetze/EG-FGV%202011/eingangsformel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