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EG-FGV 2011 — Erteilung der EG-Kleinserien-Typgenehmigung</w:t>
      </w:r>
    </w:p>
    <w:p>
      <w:r>
        <w:rPr>
          <w:color w:val="555555"/>
          <w:sz w:val="18"/>
        </w:rPr>
        <w:t xml:space="preserve">EG-Fahrzeuggenehmigungsverordnung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Fahrzeuge wird eine EG-Kleinserien-Typgenehmigung nach Artikel 22 der Richtlinie 2007/46/EG erteilt, wenn die in der Anlage zum Anhang IV Teil I der Richtlinie 2007/46/EG genannten Anforderungen erfüllt und die in Anhang XII Teil A Abschnitt 1 genannten höchstzulässigen Stückzahlen nicht überschritten werden.</w:t>
      </w:r>
    </w:p>
    <w:p>
      <w:r>
        <w:t xml:space="preserve">(2) Für das Genehmigungsverfahren gelten die §§ 4, 5, 7 und 8 entsprechend.</w:t>
      </w:r>
    </w:p>
    <w:p>
      <w:r>
        <w:rPr>
          <w:color w:val="555555"/>
          <w:sz w:val="17"/>
        </w:rPr>
        <w:t xml:space="preserve">Zitiervorschlag: § 9 EG-FGV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https://recht.nulegal.eu/gesetze/EG-FGV%202011/9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