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EG-FGV 2011 — Besondere Verfahren</w:t>
      </w:r>
    </w:p>
    <w:p>
      <w:r>
        <w:rPr>
          <w:color w:val="555555"/>
          <w:sz w:val="18"/>
        </w:rPr>
        <w:t xml:space="preserve">EG-Fahrzeuggenehmigungsverordnung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den Mitgliedstaaten nach Artikel 20 Absatz 1, 2 und 4 der Richtlinie 2007/46/EG obliegenden Aufgaben werden für die Bundesrepublik Deutschland vom Kraftfahrt-Bundesamt wahrgenommen.</w:t>
      </w:r>
    </w:p>
    <w:p>
      <w:r>
        <w:t xml:space="preserve">(2) Das Kraftfahrt-Bundesamt kann für Fahrzeuge aus auslaufenden Serien im Sinne des Artikels 27 der Richtlinie 2007/46/EG Ausnahmen erteilen, die die Zulassung, den Verkauf und die Inbetriebnahme in einer begrenzten Stückzahl weiterhin erlauben, obwohl die Fahrzeuge einem Fahrzeugtyp entsprechen, dessen EG-Typgenehmigung nicht mehr wirksam ist.</w:t>
      </w:r>
    </w:p>
    <w:p>
      <w:r>
        <w:rPr>
          <w:color w:val="555555"/>
          <w:sz w:val="17"/>
        </w:rPr>
        <w:t xml:space="preserve">Zitiervorschlag: § 8 EG-FGV 2011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https://recht.nulegal.eu/gesetze/EG-FGV%202011/8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