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EG-FGV 2011 — Übereinstimmungsbescheinigung und Kennzeichnung</w:t>
      </w:r>
    </w:p>
    <w:p>
      <w:r>
        <w:rPr>
          <w:color w:val="555555"/>
          <w:sz w:val="18"/>
        </w:rPr>
        <w:t xml:space="preserve">EG-Fahrzeuggenehmigungsverordnung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jedes dem genehmigten Typ entsprechende Fahrzeug hat der Inhaber der EG-Typgenehmigung eine Übereinstimmungsbescheinigung nach Artikel 18 in Verbindung mit Anhang IX der Richtlinie 2007/46/EG auszustellen und dem Fahrzeug beizufügen. Die Übereinstimmungsbescheinigung muss nach Artikel 18 Absatz 3 der Richtlinie 2007/46/EG fälschungssicher sein.</w:t>
      </w:r>
    </w:p>
    <w:p>
      <w:r>
        <w:t xml:space="preserve">(2) Der Inhaber einer EG-Typgenehmigung für ein Bauteil oder eine selbstständige technische Einheit hat alle in Übereinstimmung mit dem genehmigten Typ hergestellten Bauteile oder selbstständigen technischen Einheiten nach Artikel 19 der Richtlinie 2007/46/EG zu kennzeichnen und, soweit die EG-Typgenehmigung Verwendungsbeschränkungen oder besondere Einbauvorschriften nach Artikel 10 Absatz 4 der Richtlinie 2007/46/EG enthält, jedem Bauteil oder jeder selbstständigen technischen Einheit ausführliche Angaben über die Beschränkungen mitzuliefern und etwa erforderliche Vorschriften über den Einbau beizufügen.</w:t>
      </w:r>
    </w:p>
    <w:p>
      <w:r>
        <w:rPr>
          <w:color w:val="555555"/>
          <w:sz w:val="17"/>
        </w:rPr>
        <w:t xml:space="preserve">Zitiervorschlag: § 6 EG-FGV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https://recht.nulegal.eu/gesetze/EG-FGV%202011/6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