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EG-FGV 2011 — Inkrafttreten, Außerkrafttreten</w:t>
      </w:r>
    </w:p>
    <w:p>
      <w:r>
        <w:rPr>
          <w:color w:val="555555"/>
          <w:sz w:val="18"/>
        </w:rPr>
        <w:t xml:space="preserve">EG-Fahrzeuggenehmigungsverordnung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 Gleichzeitig tritt die EG-Fahrzeuggenehmigungsverordnung vom 21. April 2009 (BGBl. I S. 872, 873) außer Kraft.</w:t>
      </w:r>
    </w:p>
    <w:p>
      <w:r>
        <w:rPr>
          <w:color w:val="555555"/>
          <w:sz w:val="17"/>
        </w:rPr>
        <w:t xml:space="preserve">Zitiervorschlag: § 40 EG-FGV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https://recht.nulegal.eu/gesetze/EG-FGV%202011/40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