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EG-FGV 2011 — Erteilung der EG-Typgenehmigung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Antragsverfahren gelten die Artikel 6 und 7 der Richtlinie 2007/46/EG. Der Antragsteller hat der Genehmigungsbehörde zu erklären, dass für denselben Typ in einem anderen Mitgliedstaat eine EG-Typgenehmigung nicht beantragt worden ist.</w:t>
      </w:r>
    </w:p>
    <w:p>
      <w:r>
        <w:t xml:space="preserve">(2) Die Vorlage der EG-Typgenehmigungsbögen für Systeme, selbstständige technische Einheiten und Bauteile entfällt, soweit die betreffenden EG-Typgenehmigungen bereits vom Kraftfahrt-Bundesamt erteilt wurden.</w:t>
      </w:r>
    </w:p>
    <w:p>
      <w:r>
        <w:t xml:space="preserve">(3) Mit dem Antrag kann ein Prüfbericht eines benannten Technischen Dienstes vorgelegt werden, der Angaben über die Erfüllung der Bedingungen zur Erteilung der Typgenehmigung enthält. Das Kraftfahrt-Bundesamt kann anordnen, dass für den Fahrzeugtyp, für den eine EG-Typgenehmigung beantragt wird, ein entsprechendes Fahrzeug bei ihm oder beim Hersteller vorzuführen ist.</w:t>
      </w:r>
    </w:p>
    <w:p>
      <w:r>
        <w:t xml:space="preserve">(4) Die EG-Typgenehmigung darf nur erteilt werden, wenn die Voraussetzungen für den zu genehmigenden Fahrzeugtyp oder die zu genehmigenden Systeme, Bauteile oder selbstständigen technischen Einheiten nach Artikel 8 Absatz 1 der Richtlinie 2007/46/EG vorliegen und nach Artikel 8 Absatz 2 der Richtlinie 2007/46/EG die Erfüllung der spezifischen Bestimmungen der Artikel 9 und 10 sichergestellt ist und die erforderlichen Prüfverfahren ordnungsgemäß und mit zufriedenstellendem Ergebnis durchgeführt wurden und der Antragsteller nachweist, dass er nach Anhang X der Richtlinie 2007/46/EG über ein wirksames System zur Überwachung der Übereinstimmung der Produktion verfügt, um zu gewährleisten, dass die herzustellenden Fahrzeuge, Systeme, Bauteile und selbstständigen technischen Einheiten jeweils mit dem genehmigten Typ übereinstimmen.</w:t>
      </w:r>
    </w:p>
    <w:p>
      <w:r>
        <w:t xml:space="preserve">(5) Die EG-Typgenehmigung kann mit Nebenbestimmungen versehen werden.</w:t>
      </w:r>
    </w:p>
    <w:p>
      <w:r>
        <w:rPr>
          <w:color w:val="555555"/>
          <w:sz w:val="17"/>
        </w:rPr>
        <w:t xml:space="preserve">Zitiervorschlag: § 4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