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EG-FGV 2011 — Harmonisierte Normen</w:t>
      </w:r>
    </w:p>
    <w:p>
      <w:r>
        <w:rPr>
          <w:color w:val="555555"/>
          <w:sz w:val="18"/>
        </w:rPr>
        <w:t xml:space="preserve">EG-Fahrzeuggenehmigungsverordnung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in dieser Verordnung auf DIN-, EN- oder ISO/IEC-Normen Bezug genommen wird, sind diese im Beuth-Verlag GmbH, Berlin, erschienen. Sie sind beim Deutschen Patent- und Markenamt in München archivmäßig gesichert niedergelegt.</w:t>
      </w:r>
    </w:p>
    <w:p>
      <w:r>
        <w:rPr>
          <w:color w:val="555555"/>
          <w:sz w:val="17"/>
        </w:rPr>
        <w:t xml:space="preserve">Zitiervorschlag: § 38 EG-FGV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https://recht.nulegal.eu/gesetze/EG-FGV%202011/38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