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37 EG-FGV 2011 — Ordnungswidrigkeiten</w:t>
      </w:r>
    </w:p>
    <w:p>
      <w:r>
        <w:rPr>
          <w:color w:val="555555"/>
          <w:sz w:val="18"/>
        </w:rPr>
        <w:t xml:space="preserve">EG-Fahrzeuggenehmigungsverordnung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Ordnungswidrig im Sinne des § 24 Absatz 1 Satz 1 des Straßenverkehrsgesetzes handelt, wer vorsätzlich oder fahrlässig entgegen § 27 Absatz 1 Satz 1, Absatz 2 Satz 1, 2 oder 4, Absatz 3 Satz 1, Absatz 4, 5 oder § 28 Absatz 2 Satz 2 ein Fahrzeug, eine selbstständige technische Einheit, ein Bauteil, ein Teil oder eine Ausrüstung feilbietet, veräußert oder in den Verkehr bringt.</w:t>
      </w:r>
    </w:p>
    <w:p>
      <w:r>
        <w:t xml:space="preserve">(2) Ordnungswidrig im Sinne des § 23 Absatz 2 des Straßenverkehrsgesetzes handelt, wer vorsätzlich oder fahrlässig eine Handlung nach Absatz 1 begeht, indem er ein Fahrzeug, eine selbstständige technische Einheit, ein Bauteil, ein Teil oder eine Ausrüstung gewerbsmäßig feilbietet.</w:t>
      </w:r>
    </w:p>
    <w:p>
      <w:r>
        <w:rPr>
          <w:color w:val="555555"/>
          <w:sz w:val="17"/>
        </w:rPr>
        <w:t xml:space="preserve">Zitiervorschlag: § 37 EG-FGV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https://recht.nulegal.eu/gesetze/EG-FGV%202011/37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