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EG-FGV 2011 — Freistellungsklausel</w:t>
      </w:r>
    </w:p>
    <w:p>
      <w:r>
        <w:rPr>
          <w:color w:val="555555"/>
          <w:sz w:val="18"/>
        </w:rPr>
        <w:t xml:space="preserve">EG-Fahrzeuggenehmigungsverordnung</w:t>
      </w:r>
    </w:p>
    <w:p>
      <w:r>
        <w:rPr>
          <w:color w:val="555555"/>
          <w:sz w:val="18"/>
        </w:rPr>
        <w:t xml:space="preserve">Stand: 10.06.2019 (konsolidierte Textfassung, kein amtliches Inkrafttretensdatum)</w:t>
      </w:r>
    </w:p>
    <w:p>
      <w:r>
        <w:t xml:space="preserve">Die anerkannte oder akkreditierte Stelle hat die Bundesrepublik Deutschland und die Länder von allen Ansprüchen Dritter wegen Schäden freizustellen, die durch die Ausübung der mit der Anerkennung übertragenen Befugnisse verursacht werden.</w:t>
      </w:r>
    </w:p>
    <w:p>
      <w:r>
        <w:rPr>
          <w:color w:val="555555"/>
          <w:sz w:val="17"/>
        </w:rPr>
        <w:t xml:space="preserve">Zitiervorschlag: § 36 EG-FGV 2011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https://recht.nulegal.eu/gesetze/EG-FGV%202011/36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