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EG-FGV 2011 — Erlöschen, Widerruf und Rücknahme der Anerkennung</w:t>
      </w:r>
    </w:p>
    <w:p>
      <w:r>
        <w:rPr>
          <w:color w:val="555555"/>
          <w:sz w:val="18"/>
        </w:rPr>
        <w:t xml:space="preserve">EG-Fahrzeuggenehmigungsverordnung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Anerkennung erlischt mit Ablauf einer festgesetzten Frist oder bei Einstellung des Betriebs der benannten Stelle.</w:t>
      </w:r>
    </w:p>
    <w:p>
      <w:r>
        <w:t xml:space="preserve">(2) Die Anerkennung kann insbesondere dann widerrufen werden, wenn die nach § 31 zu fordernden Kriterien nicht erfüllt sind, wenn Nebenbestimmungen nicht eingehalten werden oder wenn die Prüfaufgaben nicht ordnungsgemäß wahrgenommen werden.</w:t>
      </w:r>
    </w:p>
    <w:p>
      <w:r>
        <w:t xml:space="preserve">(3) Die Anerkennung kann insbesondere dann zurückgenommen werden, wenn die nach § 31 zu fordernden Kriterien zum Zeitpunkt des Erlasses des Anerkennungsbescheides nicht erfüllt waren.</w:t>
      </w:r>
    </w:p>
    <w:p>
      <w:r>
        <w:rPr>
          <w:color w:val="555555"/>
          <w:sz w:val="17"/>
        </w:rPr>
        <w:t xml:space="preserve">Zitiervorschlag: § 33 EG-FGV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https://recht.nulegal.eu/gesetze/EG-FGV%202011/33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