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EG-FGV 2011 — Änderung der Anerkennung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anerkannte Stelle hat dem Kraftfahrt-Bundesamt jede Änderung der Angaben, die in den Antragsunterlagen nach § 31 Absatz 1 enthalten sind, unverzüglich mitzuteilen.</w:t>
      </w:r>
    </w:p>
    <w:p>
      <w:r>
        <w:t xml:space="preserve">(2) Die Anerkennung kann durch Erteilung eines Änderungsbescheides geändert werden. Für das Änderungsverfahren gilt § 31.</w:t>
      </w:r>
    </w:p>
    <w:p>
      <w:r>
        <w:rPr>
          <w:color w:val="555555"/>
          <w:sz w:val="17"/>
        </w:rPr>
        <w:t xml:space="preserve">Zitiervorschlag: § 32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