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EG-FGV 2011 — Zusammenarbeit mit den anderen Mitgliedstaaten der Europäischen Union und mit der Kommission der Europäischen Gemeinschaften</w:t>
      </w:r>
    </w:p>
    <w:p>
      <w:r>
        <w:rPr>
          <w:color w:val="555555"/>
          <w:sz w:val="18"/>
        </w:rPr>
        <w:t xml:space="preserve">EG-Fahrzeuggenehmigungsverordnung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Kraftfahrt-Bundesamt übermittelt den Genehmigungsbehörden der anderen Mitgliedstaaten nach den Richtlinien nach § 1 die erforderlichen Unterlagen für jeden Typ eines Fahrzeugs, eines Systems, einer selbstständigen technischen Einheit oder eines Bauteils, für den es die EG-Typgenehmigung erteilt, verweigert, geändert, widerrufen oder zurückgenommen sowie Ausnahmeregelungen zugelassen hat. Satz 1 gilt entsprechend im Falle des Erlöschens einer EG-Typgenehmigung nach § 7 Absatz 2, § 18 Absatz 3 und § 23 Absatz 3.</w:t>
      </w:r>
    </w:p>
    <w:p>
      <w:r>
        <w:t xml:space="preserve">(2) Die Genehmigungsbehörde leistet Amtshilfe, wenn die zuständigen Stellen der anderen Mitgliedstaaten der Europäischen Union oder die Kommission der Europäischen Gemeinschaften unter Berufung auf die Richtlinien 2007/46/EG, 2002/24/EG oder 2003/37/EG oder die in Anhang IV der Richtlinie 2007/46/EG, Anhang I der Richtlinie 2002/24/EG und Anhang II Kapitel B der Richtlinie 2003/37/EG aufgeführten Rechtsakte hierum ersuchen.</w:t>
      </w:r>
    </w:p>
    <w:p>
      <w:r>
        <w:t xml:space="preserve">(3) Das Kraftfahrt-Bundesamt nimmt Anfragen anderer Mitgliedstaaten zu erteilten Einzelgenehmigungen entgegen und leitet sie zur zuständigen Genehmigungsbehörde weiter. Anfragen der Genehmigungsbehörden zu Einzelgenehmigungen, die durch andere Mitgliedstaaten erteilt wurden, können dem Kraftfahrt-Bundesamt zur Weiterleitung an die zuständige ausländische Genehmigungsbehörde übersandt werden.</w:t>
      </w:r>
    </w:p>
    <w:p>
      <w:r>
        <w:rPr>
          <w:color w:val="555555"/>
          <w:sz w:val="17"/>
        </w:rPr>
        <w:t xml:space="preserve">Zitiervorschlag: § 29 EG-FGV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https://recht.nulegal.eu/gesetze/EG-FGV%202011/29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