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EG-FGV 2011 — Sicherstellung der Übereinstimmung der Produktion, Widerruf und Rücknahme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das Kraftfahrt-Bundesamt fest, dass Fahrzeuge, Systeme, Bauteile und selbstständige technische Einheiten nicht mit dem genehmigten Typ übereinstimmen, kann es die erforderlichen Maßnahmen nach den für den jeweiligen Typ anwendbaren Richtlinien 2007/46/EG, 2002/24/EG und 2003/37/EG anordnen, um die Übereinstimmung der Produktion mit dem genehmigten Typ sicherzustellen.</w:t>
      </w:r>
    </w:p>
    <w:p>
      <w:r>
        <w:t xml:space="preserve">(2) Das Kraftfahrt-Bundesamt kann zur Beseitigung aufgetretener Mängel und zur Gewährleistung der Vorschriftsmäßigkeit auch bereits im Verkehr befindlicher Fahrzeuge, selbstständiger technischer Einheiten oder Bauteile nachträglich Nebenbestimmungen anordnen.</w:t>
      </w:r>
    </w:p>
    <w:p>
      <w:r>
        <w:t xml:space="preserve">(3) Das Kraftfahrt-Bundesamt kann die Typgenehmigung ganz oder teilweise widerrufen oder zurücknehmen, insbesondere wenn festgestellt wird, dass</w:t>
      </w:r>
    </w:p>
    <w:p>
      <w:pPr>
        <w:ind w:left="420"/>
      </w:pPr>
      <w:r>
        <w:t xml:space="preserve">1. Fahrzeuge mit einer Übereinstimmungsbescheinigung oder selbstständige technische Einheiten oder Bauteile mit einer vorgeschriebenen Kennzeichnung nicht mit dem genehmigten Typ übereinstimmen,</w:t>
      </w:r>
    </w:p>
    <w:p>
      <w:pPr>
        <w:ind w:left="420"/>
      </w:pPr>
      <w:r>
        <w:t xml:space="preserve">2. von Fahrzeugen, selbstständigen technischen Einheiten oder Bauteilen ein erhebliches Risiko für die Verkehrssicherheit, die öffentliche Gesundheit oder die Umwelt ausgeht,</w:t>
      </w:r>
    </w:p>
    <w:p>
      <w:pPr>
        <w:ind w:left="420"/>
      </w:pPr>
      <w:r>
        <w:t xml:space="preserve">3. der Hersteller nicht über ein wirksames System der Überwachung der Übereinstimmung der Produktion verfügt oder dieses System nicht in der vorgesehenen Weise anwendet oder</w:t>
      </w:r>
    </w:p>
    <w:p>
      <w:pPr>
        <w:ind w:left="420"/>
      </w:pPr>
      <w:r>
        <w:t xml:space="preserve">4. der Inhaber der Typgenehmigung gegen die mit der Typgenehmigung verbundenen Auflagen verstößt.</w:t>
      </w:r>
    </w:p>
    <w:p>
      <w:r>
        <w:rPr>
          <w:color w:val="555555"/>
          <w:sz w:val="17"/>
        </w:rPr>
        <w:t xml:space="preserve">Zitiervorschlag: § 25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