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EG-FGV 2011 — Besondere Verfahren</w:t>
      </w:r>
    </w:p>
    <w:p>
      <w:r>
        <w:rPr>
          <w:color w:val="555555"/>
          <w:sz w:val="18"/>
        </w:rPr>
        <w:t xml:space="preserve">EG-Fahrzeuggenehmigungsverordnung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den Mitgliedstaaten nach Artikel 8 Absatz 2 der Richtlinie 2003/37/EG obliegenden Aufgaben werden für die Bundesrepublik Deutschland vom Kraftfahrt-Bundesamt wahrgenommen.</w:t>
      </w:r>
    </w:p>
    <w:p>
      <w:r>
        <w:t xml:space="preserve">(2) Für Fahrzeuge, die in Kleinserien im Sinne des Artikels 9 der Richtlinie 2003/37/EG oder für die Bundeswehr, die Polizei, die Bundespolizei, den Zolldienst, die Feuerwehr und die anderen Einheiten und Einrichtungen des Katastrophenschutzes im Sinne des Artikels 8 Absatz 1 der Richtlinie 2003/37/EG hergestellt werden, können Allgemeine Betriebserlaubnisse nach § 20 der Straßenverkehrs-Zulassungs-Ordnung erteilt werden. Das Kraftfahrt-Bundesamt kann für Fahrzeuge, für die in einem anderen Mitgliedstaat eine Typgenehmigung nach Artikel 9 der Richtlinie 2003/37/EG erteilt worden ist, auf Antrag diese Typgenehmigung für die Zulassung im Inland anerkennen.</w:t>
      </w:r>
    </w:p>
    <w:p>
      <w:r>
        <w:t xml:space="preserve">(3) Auf Antrag kann das Kraftfahrt-Bundesamt für Fahrzeuge aus auslaufenden Serien im Sinne des Artikels 10 der Richtlinie 2003/37/EG die Zulassung, den Verkauf und die Inbetriebnahme von Fahrzeugen trotz nicht mehr gültiger Typgenehmigung nach Maßgabe des Artikels 10 der Richtlinie 2003/37/EG erlauben.</w:t>
      </w:r>
    </w:p>
    <w:p>
      <w:r>
        <w:t xml:space="preserve">(4) Für Fahrzeuge, Systeme, selbstständige technische Einheiten oder Bauteile im Sinne des Artikels 11 der Richtlinie 2003/37/EG kann nach Maßgabe des Artikels 11 Buchstabe a, c, d und e der Richtlinie 2003/37/EG eine EG-Typgenehmigung erteilt werden. Die Vorschriften der §§ 20 bis 22 sind entsprechend anzuwenden.</w:t>
      </w:r>
    </w:p>
    <w:p>
      <w:r>
        <w:rPr>
          <w:color w:val="555555"/>
          <w:sz w:val="17"/>
        </w:rPr>
        <w:t xml:space="preserve">Zitiervorschlag: § 24 EG-FGV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https://recht.nulegal.eu/gesetze/EG-FGV%202011/24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EG-FGV 2011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