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EG-FGV 2011 — Übereinstimmungsbescheinigung und Kennzeichnung</w:t>
      </w:r>
    </w:p>
    <w:p>
      <w:r>
        <w:rPr>
          <w:color w:val="555555"/>
          <w:sz w:val="18"/>
        </w:rPr>
        <w:t xml:space="preserve">EG-Fahrzeuggenehmigungsverordnung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jedes dem genehmigten Typ entsprechende Fahrzeug hat der Inhaber der EG-Typgenehmigung eine Übereinstimmungsbescheinigung nach Anhang III der Richtlinie 2003/37/EG auszustellen und diese dem Fahrzeug beizufügen. Die Übereinstimmungsbescheinigung muss nach den Anforderungen in Anhang III der Richtlinie 2003/37/EG fälschungssicher sein.</w:t>
      </w:r>
    </w:p>
    <w:p>
      <w:r>
        <w:t xml:space="preserve">(2) Der Inhaber einer EG-Typgenehmigung für ein Bauteil oder eine selbstständige technische Einheit hat alle in Übereinstimmung mit dem genehmigten Typ hergestellten Bauteile oder selbstständigen technischen Einheiten nach Artikel 6 Absatz 3 der Richtlinie 2003/37/EG zu kennzeichnen und, soweit die EG-Typgenehmigung Verwendungsbeschränkungen nach Artikel 4 Absatz 1 Buchstabe c der Richtlinie 2003/37/EG enthält, jedem hergestellten Bauteil oder jeder hergestellten selbstständigen technischen Einheit ausführliche Angaben über die Beschränkungen und etwa erforderliche Vorschriften über den Einbau beizufügen. Stellt das Kraftfahrt-Bundesamt fest, dass Fahrzeuge, Systeme, selbstständige technische Einheiten oder Bauteile nicht mit dem genehmigten Typ übereinstimmen, trifft es nach Artikel 16 Absatz 2 in Verbindung mit Artikel 13 der Richtlinie 2003/37/EG die erforderlichen Maßnahmen, um die Übereinstimmung der Produktion mit dem genehmigten Typ erneut sicherzustellen.</w:t>
      </w:r>
    </w:p>
    <w:p>
      <w:r>
        <w:rPr>
          <w:color w:val="555555"/>
          <w:sz w:val="17"/>
        </w:rPr>
        <w:t xml:space="preserve">Zitiervorschlag: § 22 EG-FGV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https://recht.nulegal.eu/gesetze/EG-FGV%202011/22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