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EG-FGV 2011 — Anwendungsbereich und Voraussetzungen</w:t>
      </w:r>
    </w:p>
    <w:p>
      <w:r>
        <w:rPr>
          <w:color w:val="555555"/>
          <w:sz w:val="18"/>
        </w:rPr>
        <w:t xml:space="preserve">EG-Fahrzeuggenehmigungsverordnung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Genehmigung von</w:t>
      </w:r>
    </w:p>
    <w:p>
      <w:pPr>
        <w:ind w:left="420"/>
      </w:pPr>
      <w:r>
        <w:t xml:space="preserve">1. Zugmaschinen, Anhängern oder gezogenen auswechselbaren Maschinen, die zum Einsatz in der Land- oder Forstwirtschaft bestimmt sind, unabhängig davon, ob sie in einer oder in mehreren Stufen gefertigt werden, sowie</w:t>
      </w:r>
    </w:p>
    <w:p>
      <w:pPr>
        <w:ind w:left="420"/>
      </w:pPr>
      <w:r>
        <w:t xml:space="preserve">2. Systemen, selbstständigen technischen Einheiten und Bauteilen</w:t>
      </w:r>
    </w:p>
    <w:p>
      <w:r>
        <w:t xml:space="preserve">nach der Richtlinie 2003/37/EG sind die Bestimmungen dieser Richtlinie anzuwenden.</w:t>
      </w:r>
    </w:p>
    <w:p>
      <w:r>
        <w:t xml:space="preserve">(2) Die Bestimmungen der Richtlinie 2003/37/EG gelten nicht für</w:t>
      </w:r>
    </w:p>
    <w:p>
      <w:pPr>
        <w:ind w:left="420"/>
      </w:pPr>
      <w:r>
        <w:t xml:space="preserve">1. Fahrzeuge mit einer durch die Bauart bestimmten Höchstgeschwindigkeit von weniger als 6 km/h;</w:t>
      </w:r>
    </w:p>
    <w:p>
      <w:pPr>
        <w:ind w:left="420"/>
      </w:pPr>
      <w:r>
        <w:t xml:space="preserve">2. speziell zum Einsatz in der Forstwirtschaft bestimmte Maschinen wie Seilschlepper (Skidder) und Rückezüge (Forwarder) nach ISO-Norm 6814:2000;</w:t>
      </w:r>
    </w:p>
    <w:p>
      <w:pPr>
        <w:ind w:left="420"/>
      </w:pPr>
      <w:r>
        <w:t xml:space="preserve">3. Forstmaschinen auf Fahrgestell für Erdbaumaschinen nach ISO-Norm 6165:2001;</w:t>
      </w:r>
    </w:p>
    <w:p>
      <w:pPr>
        <w:ind w:left="420"/>
      </w:pPr>
      <w:r>
        <w:t xml:space="preserve">4. auswechselbare Maschinen, die im öffentlichen Straßenverkehr von einem anderen Fahrzeug in vollständig angehobener Stellung mitgeführt werden (Anbaugeräte).</w:t>
      </w:r>
    </w:p>
    <w:p>
      <w:r>
        <w:t xml:space="preserve">(3) Die Genehmigung nach Absatz 1 wird dem Hersteller auf Antrag erteilt.</w:t>
      </w:r>
    </w:p>
    <w:p>
      <w:r>
        <w:t xml:space="preserve">(4) Für die Begriffsbestimmungen gilt Artikel 2 der Richtlinie 2003/37/EG.</w:t>
      </w:r>
    </w:p>
    <w:p>
      <w:r>
        <w:rPr>
          <w:color w:val="555555"/>
          <w:sz w:val="17"/>
        </w:rPr>
        <w:t xml:space="preserve">Zitiervorschlag: § 20 EG-FGV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https://recht.nulegal.eu/gesetze/EG-FGV%202011/20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