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EG-FGV 2011 — Genehmigungsbehörde</w:t>
      </w:r>
    </w:p>
    <w:p>
      <w:r>
        <w:rPr>
          <w:color w:val="555555"/>
          <w:sz w:val="18"/>
        </w:rPr>
        <w:t xml:space="preserve">EG-Fahrzeuggenehmigungsverordnung</w:t>
      </w:r>
    </w:p>
    <w:p>
      <w:r>
        <w:rPr>
          <w:color w:val="555555"/>
          <w:sz w:val="18"/>
        </w:rPr>
        <w:t xml:space="preserve">Stand: 10.06.2019 (konsolidierte Textfassung, kein amtliches Inkrafttretensdatum)</w:t>
      </w:r>
    </w:p>
    <w:p>
      <w:r>
        <w:t xml:space="preserve">(1) Genehmigungsbehörde für Typgenehmigungen und Genehmigungen für den Verkauf, das Anbieten zum Verkauf oder die Inbetriebnahme von Teilen oder Ausrüstungen, von denen ein erhebliches Risiko für das einwandfreie Funktionieren von Systemen ausgehen kann, die für die Sicherheit des Fahrzeugs oder für seine Umweltwerte von wesentlicher Bedeutung sind (Autorisierung von Teilen oder Ausrüstungen), ist das Kraftfahrt-Bundesamt.</w:t>
      </w:r>
    </w:p>
    <w:p>
      <w:r>
        <w:t xml:space="preserve">(2) Genehmigungsbehörde für Einzelgenehmigungen sind die nach Landesrecht zuständigen Stellen.</w:t>
      </w:r>
    </w:p>
    <w:p>
      <w:r>
        <w:rPr>
          <w:color w:val="555555"/>
          <w:sz w:val="17"/>
        </w:rPr>
        <w:t xml:space="preserve">Zitiervorschlag: § 2 EG-FGV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https://recht.nulegal.eu/gesetze/EG-FGV%202011/2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