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EG-FGV 2011 — Datenbestätigung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einer nationalen Kleinserien-Typgenehmigung für Fahrzeuge ist verpflichtet, für jedes dem Typ entsprechende Fahrzeug eine Datenbestätigung nach Muster 2d der Straßenverkehrs-Zulassungs-Ordnung auszufüllen und dem Fahrzeug beizufügen. Die Datenbestätigung nach Satz 1 ist entbehrlich, wenn</w:t>
      </w:r>
    </w:p>
    <w:p>
      <w:pPr>
        <w:ind w:left="420"/>
      </w:pPr>
      <w:r>
        <w:t xml:space="preserve">1. das Kraftfahrt-Bundesamt für den Fahrzeugtyp Typdaten zur Verfügung gestellt hat und</w:t>
      </w:r>
    </w:p>
    <w:p>
      <w:pPr>
        <w:ind w:left="420"/>
      </w:pPr>
      <w:r>
        <w:t xml:space="preserve">2. der Inhaber der Typgenehmigung durch Eintragung der vom Kraftfahrt-Bundesamt für den Abruf der Typdaten zugeteilten Typ- sowie Varianten-/Versionsschlüsselnummer in der Zulassungsbescheinigung Teil II bestätigt hat, dass das genannte Fahrzeug mit den Typdaten, die dieser Schlüsselnummer entsprechen, übereinstimmt.</w:t>
      </w:r>
    </w:p>
    <w:p>
      <w:r>
        <w:t xml:space="preserve">(2) Für Fahrzeuge, die für die Bundeswehr zugelassen werden sollen, braucht die Datenbestätigung abweichend von Absatz 1 Satz 1 nur für eine Fahrzeugserie ausgestellt zu werden, wenn der Inhaber der nationalen Typgenehmigung die Fahrzeug-Identifizierungsnummer jedes einzelnen Fahrzeugs der Fahrzeugserie der Zentralen Militärkraftfahrtstelle mitteilt.</w:t>
      </w:r>
    </w:p>
    <w:p>
      <w:r>
        <w:rPr>
          <w:color w:val="555555"/>
          <w:sz w:val="17"/>
        </w:rPr>
        <w:t xml:space="preserve">Zitiervorschlag: § 12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