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EG-FGV 2011 — Erteilung der nationalen Kleinserien-Typgenehmigung</w:t>
      </w:r>
    </w:p>
    <w:p>
      <w:r>
        <w:rPr>
          <w:color w:val="555555"/>
          <w:sz w:val="18"/>
        </w:rPr>
        <w:t xml:space="preserve">EG-Fahrzeuggenehmigungsverordnung</w:t>
      </w:r>
    </w:p>
    <w:p>
      <w:r>
        <w:rPr>
          <w:color w:val="555555"/>
          <w:sz w:val="18"/>
        </w:rPr>
        <w:t xml:space="preserve">Stand: 10.06.2019 (konsolidierte Textfassung, kein amtliches Inkrafttretensdatum)</w:t>
      </w:r>
    </w:p>
    <w:p>
      <w:r>
        <w:t xml:space="preserve">(1) Für Fahrzeuge wird eine nationale Kleinserien-Typgenehmigung nach Artikel 23 der Richtlinie 2007/46/EG erteilt, wenn die in Anhang IV oder Anhang XI der Richtlinie 2007/46/EG genannten Anforderungen erfüllt und die in Anlage XII Teil A Abschnitt 2 der Richtlinie 2007/46/EG genannten höchstzulässigen Stückzahlen nicht überschritten werden. Der Einhaltung einzelner in Anhang IV oder Anhang XI der Richtlinie 2007/46/EG genannter Vorschriften bedarf es nicht, wenn das Fahrzeug die entsprechenden Bestimmungen der Straßenverkehrs-Zulassungs-Ordnung erfüllt.</w:t>
      </w:r>
    </w:p>
    <w:p>
      <w:r>
        <w:t xml:space="preserve">(2) Für das Genehmigungsverfahren finden die §§ 4, 5, 7 und 8 Absatz 2 entsprechend Anwendung. Beim Antrag ist die Notwendigkeit der Anwendung entsprechender Anforderungen der Straßenverkehrs-Zulassungs-Ordnung nach Absatz 1 Satz 2 an Stelle der in Anhang IV oder Anhang XI der Richtlinie 2007/46/EG genannten Vorschriften darzulegen.</w:t>
      </w:r>
    </w:p>
    <w:p>
      <w:r>
        <w:t xml:space="preserve">(3) Abweichungen von den technischen Angaben, die das Kraftfahrt-Bundesamt bei Erteilung der nationalen Kleinserien-Typgenehmigung durch Bescheid in Schriftform oder elektronischer Form für den genehmigten Typ festgelegt hat, sind dem Inhaber der Typgenehmigung nur gestattet, wenn diese durch einen entsprechenden Nachtrag ergänzt worden ist oder wenn das Kraftfahrt-Bundesamt auf Antrag festgestellt hat, dass für die vorgesehene Änderung eine Nachtragserlaubnis nicht erforderlich ist.</w:t>
      </w:r>
    </w:p>
    <w:p>
      <w:r>
        <w:t xml:space="preserve">(4) Auf Antrag desjenigen, der ein Fahrzeug in einem anderen Mitgliedstaat verkaufen, zulassen oder in Betrieb nehmen will, fertigt das Kraftfahrt-Bundesamt eine Kopie des Typgenehmigungsbogens einschließlich der Beschreibungsunterlagen aus. Auf Antrag des Herstellers übermittelt es den Genehmigungsbehörden der vom Hersteller angegebenen Mitgliedstaaten eine Kopie des Typgenehmigungsbogens und der zugehörigen Anlagen.</w:t>
      </w:r>
    </w:p>
    <w:p>
      <w:r>
        <w:rPr>
          <w:color w:val="555555"/>
          <w:sz w:val="17"/>
        </w:rPr>
        <w:t xml:space="preserve">Zitiervorschlag: § 11 EG-FGV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https://recht.nulegal.eu/gesetze/EG-FGV%202011/11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