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EG-FGV 2011 — Übereinstimmungsbescheinigung</w:t>
      </w:r>
    </w:p>
    <w:p>
      <w:r>
        <w:rPr>
          <w:color w:val="555555"/>
          <w:sz w:val="18"/>
        </w:rPr>
        <w:t xml:space="preserve">EG-Fahrzeuggenehmigungsverordnung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Ausstellung der Übereinstimmungsbescheinigung ist § 6 Absatz 1 und 2 mit der Maßgabe anzuwenden, dass die nach Artikel 18 Absatz 6 der Richtlinie 2007/46/EG geforderten Zusätze einzutragen sind.</w:t>
      </w:r>
    </w:p>
    <w:p>
      <w:r>
        <w:rPr>
          <w:color w:val="555555"/>
          <w:sz w:val="17"/>
        </w:rPr>
        <w:t xml:space="preserve">Zitiervorschlag: § 10 EG-FGV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https://recht.nulegal.eu/gesetze/EG-FGV%202011/10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