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EFischV (Brandenburg) — Ordnungswidrigkeiten</w:t>
      </w:r>
    </w:p>
    <w:p>
      <w:r>
        <w:rPr>
          <w:color w:val="555555"/>
          <w:sz w:val="18"/>
        </w:rPr>
        <w:t xml:space="preserve">Elektrofischereiverordnung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Ordnungswidrig im Sinne des § 40 Abs. 1 Nr. 21 des Fischereigesetzes für das Land Brandenburg handelt, wer vorsätzlich oder fahrlässig entgegen</w:t>
      </w:r>
    </w:p>
    <w:p>
      <w:r>
        <w:t xml:space="preserve">§ 1 Abs. 1 Elektrizität oder künstliches Licht ohne Zulassung verwendet,</w:t>
      </w:r>
    </w:p>
    <w:p>
      <w:r>
        <w:t xml:space="preserve">§ 2 Abs. 3 Satz 1 eine andere als die zugelassene Stromart verwendet,</w:t>
      </w:r>
    </w:p>
    <w:p>
      <w:r>
        <w:t xml:space="preserve">§ 4 Abs. 1 Satz 1 ortsveränderliche Elektrofischfanganlagen und Elektrofischscheuchanlagen nicht im Abstand von drei Jahren überprüfen läßt,</w:t>
      </w:r>
    </w:p>
    <w:p>
      <w:r>
        <w:t xml:space="preserve">§ 4 Abs. 3 nicht mindestens eine Hilfsperson hinzuzieht, die Fangelektrode nicht selbst führt oder den Totmannschalter nicht selbst betätigt,</w:t>
      </w:r>
    </w:p>
    <w:p>
      <w:r>
        <w:t xml:space="preserve">§ 5 den Zulassungsschein nicht mitführt oder auf Verlangen eines Berechtigten nicht zur Einsichtnahme aushändigt.</w:t>
      </w:r>
    </w:p>
    <w:p>
      <w:r>
        <w:rPr>
          <w:color w:val="555555"/>
          <w:sz w:val="17"/>
        </w:rPr>
        <w:t xml:space="preserve">Zitiervorschlag: § 7 EFischV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https://recht.nulegal.eu/gesetze/EFischV/7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