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EFischV (Brandenburg) — Fangnachweis</w:t>
      </w:r>
    </w:p>
    <w:p>
      <w:r>
        <w:rPr>
          <w:color w:val="555555"/>
          <w:sz w:val="18"/>
        </w:rPr>
        <w:t xml:space="preserve">Elektrofischereiverordnung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Wird der Elektrofischfang für fischereiliche Bestandsaufnahmen, Bestandsuntersuchungen oder zu Forschungs- und Lehrzwecken ausgeübt, hat der Inhaber der Zulassung einen Fangnachweis nach einem von der obersten Fischereibehörde herausgegebenen Muster zu führen.</w:t>
      </w:r>
    </w:p>
    <w:p>
      <w:r>
        <w:t xml:space="preserve">(2) Der Fangnachweis ist am Ende des Kalenderjahres, bei Fristablauf, bei Widerruf der Zulassung oder auf Anforderung der Fischereibehörde vorzulegen.</w:t>
      </w:r>
    </w:p>
    <w:p>
      <w:r>
        <w:rPr>
          <w:color w:val="555555"/>
          <w:sz w:val="17"/>
        </w:rPr>
        <w:t xml:space="preserve">Zitiervorschlag: § 6 EFischV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https://recht.nulegal.eu/gesetze/EFischV/6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