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EFischV (Brandenburg) — Ausweisungspflicht</w:t>
      </w:r>
    </w:p>
    <w:p>
      <w:r>
        <w:rPr>
          <w:color w:val="555555"/>
          <w:sz w:val="18"/>
        </w:rPr>
        <w:t xml:space="preserve">Elektrofischereiverordnung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der Ausübung des Elektrofischfangs hat der Elektrofischer den Zulassungsbescheid mitzuführen. Auf Verlangen ist dieser Polizeibeamten, Fischereiaufsehern sowie Dienstkräften der Fischereibehörden auszuhändigen.</w:t>
      </w:r>
    </w:p>
    <w:p>
      <w:r>
        <w:t xml:space="preserve">(2) Für Personen, die zum Fischfang künstliches Licht verwenden oder ortsveränderliche Elektrofischscheuchanlagen betreiben, gilt Absatz 1 Satz 2 entsprechend.</w:t>
      </w:r>
    </w:p>
    <w:p>
      <w:r>
        <w:rPr>
          <w:color w:val="555555"/>
          <w:sz w:val="17"/>
        </w:rPr>
        <w:t xml:space="preserve">Zitiervorschlag: § 5 EFischV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https://recht.nulegal.eu/gesetze/EFischV/5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