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EFPV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Abs. 2 und 3 Satz 4 und Abs. 4 Nr. 1 des Allgemeinen Eisenbahngesetzes vom 27. Dezember 1993 (BGBl. I S. 2378, 2396; 1994 I S. 2439), dessen Absätze 2 und 4 zuletzt durch Artikel 1 Nr. 9 Buchstabe a und dessen Absatz 3 Satz 4 zuletzt durch Artikel 1 Nr. 9 Buchstabe b Doppelbuchstabe bb des Gesetzes vom 9. Dezember 2006 (BGBl. I S. 2833) geändert worden sind, verordnet das Bundesministerium für Verkehr, Bau und Stadtentwicklung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