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EFPV — Ordnungswidrigkeiten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28 Abs. 1 Nr. 6 Buchstabe c des Allgemeinen Eisenbahngesetzes handelt, wer als Eisenbahnverkehrsunternehmer vorsätzlich oder fahrlässig</w:t>
      </w:r>
    </w:p>
    <w:p>
      <w:pPr>
        <w:ind w:left="420"/>
      </w:pPr>
      <w:r>
        <w:t xml:space="preserve">1. entgegen § 3 Abs. 1 oder § 4 Abs. 1 nicht dafür Sorge trägt, dass die tägliche Mindestruhezeit den dort genannten Zeitraum umfasst, oder entgegen § 3 Abs. 2 Satz 2 nicht sicherstellt, dass die dort genannte Zeitdifferenz hinzugefügt wird,</w:t>
      </w:r>
    </w:p>
    <w:p>
      <w:pPr>
        <w:ind w:left="420"/>
      </w:pPr>
      <w:r>
        <w:t xml:space="preserve">2. entgegen § 3 Abs. 3 eine um mehr als 90 Minuten reduzierte tägliche Ruhezeit zwischen zwei auswärtigen Ruhezeiten festlegt,</w:t>
      </w:r>
    </w:p>
    <w:p>
      <w:pPr>
        <w:ind w:left="420"/>
      </w:pPr>
      <w:r>
        <w:t xml:space="preserve">3. entgegen § 4 Abs. 1 nicht dafür Sorge trägt, dass auf eine auswärtige Ruhezeit eine tägliche Ruhezeit am Dienstort folgt,</w:t>
      </w:r>
    </w:p>
    <w:p>
      <w:pPr>
        <w:ind w:left="420"/>
      </w:pPr>
      <w:r>
        <w:t xml:space="preserve">4. entgegen § 5 Abs. 1 oder § 5 Abs. 2 Satz 6 eine dort genannte Ruhepause nicht oder nicht mit der vorgeschriebenen Mindestdauer gewährt,</w:t>
      </w:r>
    </w:p>
    <w:p>
      <w:pPr>
        <w:ind w:left="420"/>
      </w:pPr>
      <w:r>
        <w:t xml:space="preserve">5. entgegen § 6 Abs. 1 eine dort genannte Ruhezeit nicht gewährt,</w:t>
      </w:r>
    </w:p>
    <w:p>
      <w:pPr>
        <w:ind w:left="420"/>
      </w:pPr>
      <w:r>
        <w:t xml:space="preserve">6. entgegen § 6 Abs. 2 die Art und Anzahl der vorgegebenen Ruhezeiten nicht gewährt,</w:t>
      </w:r>
    </w:p>
    <w:p>
      <w:pPr>
        <w:ind w:left="420"/>
      </w:pPr>
      <w:r>
        <w:t xml:space="preserve">7. entgegen § 7 die Fahrzeit nicht richtig plant,</w:t>
      </w:r>
    </w:p>
    <w:p>
      <w:pPr>
        <w:ind w:left="420"/>
      </w:pPr>
      <w:r>
        <w:t xml:space="preserve">8. entgegen § 8 Abs. 1 ein Verzeichnis nicht oder nicht vollständig führt,</w:t>
      </w:r>
    </w:p>
    <w:p>
      <w:pPr>
        <w:ind w:left="420"/>
      </w:pPr>
      <w:r>
        <w:t xml:space="preserve">9. entgegen § 8 Abs. 2 das Verzeichnis nicht oder nicht rechtzeitig zur Verfügung stellt oder</w:t>
      </w:r>
    </w:p>
    <w:p>
      <w:pPr>
        <w:ind w:left="420"/>
      </w:pPr>
      <w:r>
        <w:t xml:space="preserve">10. entgegen § 8 Abs. 3 das Verzeichnis nicht mindestens zwei Jahre aufbewahrt.</w:t>
      </w:r>
    </w:p>
    <w:p>
      <w:r>
        <w:rPr>
          <w:color w:val="555555"/>
          <w:sz w:val="17"/>
        </w:rPr>
        <w:t xml:space="preserve">Zitiervorschlag: § 9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