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EFPV — Verzeichnis der täglichen Arbeits- und Ruhestunden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Eisenbahnverkehrsunternehmer hat ein Verzeichnis über die täglichen Arbeits- und Ruhestunden des fahrenden Personals zu führen. Das Verzeichnis muss Angaben über die geplanten und die tatsächlichen Arbeits- und Ruhestunden enthalten.</w:t>
      </w:r>
    </w:p>
    <w:p>
      <w:r>
        <w:t xml:space="preserve">(2) Das Verzeichnis ist der zuständigen Aufsichtsbehörde auf deren Verlangen zur Überprüfung, ob die Vorgaben dieser Verordnung eingehalten wurden, zur Verfügung zu stellen.</w:t>
      </w:r>
    </w:p>
    <w:p>
      <w:r>
        <w:t xml:space="preserve">(3) Das Verzeichnis ist mindestens zwei Jahre aufzubewahren.</w:t>
      </w:r>
    </w:p>
    <w:p>
      <w:r>
        <w:rPr>
          <w:color w:val="555555"/>
          <w:sz w:val="17"/>
        </w:rPr>
        <w:t xml:space="preserve">Zitiervorschlag: § 8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