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EFPV — Fahrzeit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Eisenbahnverkehrsunternehmer hat die Fahrzeit so zu planen, dass</w:t>
      </w:r>
    </w:p>
    <w:p>
      <w:pPr>
        <w:ind w:left="420"/>
      </w:pPr>
      <w:r>
        <w:t xml:space="preserve">1. zwischen zwei täglichen Ruhezeiten bei Tagarbeit neun Stunden und bei Nachtarbeit acht Stunden und</w:t>
      </w:r>
    </w:p>
    <w:p>
      <w:pPr>
        <w:ind w:left="420"/>
      </w:pPr>
      <w:r>
        <w:t xml:space="preserve">2. innerhalb eines Zeitraumes von zwei Wochen 80 Stunden</w:t>
      </w:r>
    </w:p>
    <w:p>
      <w:r>
        <w:t xml:space="preserve">nicht überschritten werden.</w:t>
      </w:r>
    </w:p>
    <w:p>
      <w:r>
        <w:rPr>
          <w:color w:val="555555"/>
          <w:sz w:val="17"/>
        </w:rPr>
        <w:t xml:space="preserve">Zitiervorschlag: § 7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