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EFPV — Auswärtige tägliche Ruhezeit</w:t>
      </w:r>
    </w:p>
    <w:p>
      <w:r>
        <w:rPr>
          <w:color w:val="555555"/>
          <w:sz w:val="18"/>
        </w:rPr>
        <w:t xml:space="preserve">Eisenbahn-Fahrpersonalverordnung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Eisenbahnverkehrsunternehmer hat dafür Sorge zu tragen, dass die auswärtige tägliche Ruhezeit eine Dauer von mindestens acht zusammenhängenden Stunden pro 24-Stunden-Zeitraum umfasst und auf eine auswärtige Ruhezeit eine tägliche Ruhezeit am Dienstort folgt. § 7 Abs. 9 des Arbeitszeitgesetzes findet keine Anwendung.</w:t>
      </w:r>
    </w:p>
    <w:p>
      <w:r>
        <w:t xml:space="preserve">(2) In einem Tarifvertrag oder auf Grund eines Tarifvertrages in einer Betriebsvereinbarung können eine zweite zusammenhängende auswärtige Ruhezeit zugelassen und Regelungen über den Ausgleich für auswärtige Ruhezeiten vereinbart werden.</w:t>
      </w:r>
    </w:p>
    <w:p>
      <w:r>
        <w:rPr>
          <w:color w:val="555555"/>
          <w:sz w:val="17"/>
        </w:rPr>
        <w:t xml:space="preserve">Zitiervorschlag: § 4 EFPV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