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EFPV — Tägliche Ruhezeit am Dienstort</w:t>
      </w:r>
    </w:p>
    <w:p>
      <w:r>
        <w:rPr>
          <w:color w:val="555555"/>
          <w:sz w:val="18"/>
        </w:rPr>
        <w:t xml:space="preserve">Eisenbahn-Fahrpersonalverordnung</w:t>
      </w:r>
    </w:p>
    <w:p>
      <w:r>
        <w:rPr>
          <w:color w:val="555555"/>
          <w:sz w:val="18"/>
        </w:rPr>
        <w:t xml:space="preserve">Stand: 10.06.2019 (konsolidierte Textfassung, kein amtliches Inkrafttretensdatum)</w:t>
      </w:r>
    </w:p>
    <w:p>
      <w:r>
        <w:t xml:space="preserve">(1) Der Eisenbahnverkehrsunternehmer hat dafür Sorge zu tragen, dass die tägliche Ruhezeit am Dienstort eine Dauer von mindestens zwölf zusammenhängenden Stunden pro 24-Stunden-Zeitraum umfasst.</w:t>
      </w:r>
    </w:p>
    <w:p>
      <w:r>
        <w:t xml:space="preserve">(2) Die Ruhezeit kann innerhalb eines Zeitraumes von sieben Tagen einmal auf ein Minimum von neun zusammenhängenden Stunden reduziert werden. In diesem Fall muss der Eisenbahnverkehrsunternehmer sicherstellen, dass die Differenz zwischen der reduzierten Ruhezeit und zwölf Stunden der folgenden täglichen Ruhezeit am Dienstort hinzugefügt wird. § 7 Abs. 9 des Arbeitszeitgesetzes findet keine Anwendung.</w:t>
      </w:r>
    </w:p>
    <w:p>
      <w:r>
        <w:t xml:space="preserve">(3) Der Eisenbahnverkehrsunternehmer darf eine um mehr als 90 Minuten reduzierte tägliche Ruhezeit nicht zwischen zwei auswärtigen Ruhezeiten festlegen.</w:t>
      </w:r>
    </w:p>
    <w:p>
      <w:r>
        <w:rPr>
          <w:color w:val="555555"/>
          <w:sz w:val="17"/>
        </w:rPr>
        <w:t xml:space="preserve">Zitiervorschlag: § 3 EFPV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https://recht.nulegal.eu/gesetze/EFPV/3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