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EF-VO 2008</w:t>
      </w:r>
    </w:p>
    <w:p>
      <w:r>
        <w:rPr>
          <w:color w:val="555555"/>
          <w:sz w:val="18"/>
        </w:rPr>
        <w:t xml:space="preserve">Einreise-Freimengen-Verordnung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29 Abs. 1 Nr. 1 Buchstabe d des Zollverwaltungsgesetzes vom 21. Dezember 1992 (BGBl. I S. 2125, 1993 I S. 2493), der durch Artikel 1 Nr. 10 Buchstabe b des Gesetzes vom 20. Dezember 1996 (BGBl. I S. 2030) neu gefasst worden ist,</w:t>
      </w:r>
    </w:p>
    <w:p>
      <w:pPr>
        <w:ind w:left="420"/>
      </w:pPr>
      <w:r>
        <w:t xml:space="preserve">– des § 5 Abs. 2 Nr. 8 des Umsatzsteuergesetzes in der Fassung der Bekanntmachung vom 21. Februar 2005 (BGBl. I S. 386),</w:t>
      </w:r>
    </w:p>
    <w:p>
      <w:pPr>
        <w:ind w:left="420"/>
      </w:pPr>
      <w:r>
        <w:t xml:space="preserve">– des § 31 Nr. 15 Buchstabe d des Tabaksteuergesetzes vom 21. Dezember 1992 (BGBl. I S. 2150), der zuletzt durch Artikel 1 Nr. 9 Buchstabe b des Gesetzes vom 16. August 2001 (BGBl. I S. 2081) neu gefasst worden ist,</w:t>
      </w:r>
    </w:p>
    <w:p>
      <w:pPr>
        <w:ind w:left="420"/>
      </w:pPr>
      <w:r>
        <w:t xml:space="preserve">– des § 21 Nr. 4 des Biersteuergesetzes 1993, der durch Artikel 2 Nr. 9 des Gesetzes vom 21. Dezember 1992 (BGBl. I S. 2081) neu gefasst worden ist,</w:t>
      </w:r>
    </w:p>
    <w:p>
      <w:pPr>
        <w:ind w:left="420"/>
      </w:pPr>
      <w:r>
        <w:t xml:space="preserve">– des § 20 Nr. 1 Buchstabe d des Gesetzes zur Besteuerung von Schaumwein und Zwischenerzeugnissen vom 21. Dezember 1992 (BGBl. I S. 2150, 2176), der zuletzt durch Artikel 4 Nr. 6 Buchstabe a des Gesetzes vom 16. August 2001 (BGBl. I S. 2081) neu gefasst worden ist,</w:t>
      </w:r>
    </w:p>
    <w:p>
      <w:pPr>
        <w:ind w:left="420"/>
      </w:pPr>
      <w:r>
        <w:t xml:space="preserve">– des § 19 Nr. 10 Buchstabe d des Kaffeesteuergesetzes vom 21. Dezember 1992 (BGBl. I S. 2150, 2199), der durch Artikel 6 Nr. 12 Buchstabe c des Gesetzes vom 16. August 2001 (BGBl. I S. 2081) neu gefasst worden ist,</w:t>
      </w:r>
    </w:p>
    <w:p>
      <w:pPr>
        <w:ind w:left="420"/>
      </w:pPr>
      <w:r>
        <w:t xml:space="preserve">– des § 150 Nr. 1 Buchstabe d und des § 178 Satz 1 des Gesetzes über das Branntweinmonopol in der im Bundesgesetzblatt Teil III, Gliederungsnummer 612-7, veröffentlichten bereinigten Fassung in Verbindung mit Artikel 129 des Grundgesetzes, von denen § 150 Nr. 1 zuletzt durch Artikel 3 Nr. 15 Buchstabe a des Gesetzes vom 16. August 2001 (BGBl. I S. 2081) neu gefasst worden ist, und</w:t>
      </w:r>
    </w:p>
    <w:p>
      <w:pPr>
        <w:ind w:left="420"/>
      </w:pPr>
      <w:r>
        <w:t xml:space="preserve">– des § 66 Abs. 1 Nr. 19 des Energiesteuergesetzes vom 15. Juli 2006 (BGBl. I S. 1534)</w:t>
      </w:r>
    </w:p>
    <w:p>
      <w:r>
        <w:t xml:space="preserve">verordnet das Bundesministerium der Finanzen:</w:t>
      </w:r>
    </w:p>
    <w:p>
      <w:r>
        <w:rPr>
          <w:color w:val="555555"/>
          <w:sz w:val="17"/>
        </w:rPr>
        <w:t xml:space="preserve">Zitiervorschlag: Eingangsformel EF-VO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https://recht.nulegal.eu/gesetze/EF-VO%202008/eingangsformel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