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EEWärmeG — Nachweise</w:t>
      </w:r>
    </w:p>
    <w:p>
      <w:r>
        <w:rPr>
          <w:color w:val="555555"/>
          <w:sz w:val="18"/>
        </w:rPr>
        <w:t xml:space="preserve">Erneuerbare-Energien-Wärmegesetz</w:t>
      </w:r>
    </w:p>
    <w:p>
      <w:r>
        <w:rPr>
          <w:color w:val="555555"/>
          <w:sz w:val="18"/>
        </w:rPr>
        <w:t xml:space="preserve">Historische Fassung: Stand 30.06.2020 bis 06.11.2020. Dies ist nicht die aktuelle Fassung.</w:t>
      </w:r>
    </w:p>
    <w:p>
      <w:r>
        <w:t xml:space="preserve">(1) Die Verpflichteten müssen</w:t>
      </w:r>
    </w:p>
    <w:p>
      <w:pPr>
        <w:ind w:left="420"/>
      </w:pPr>
      <w:r>
        <w:t xml:space="preserve">1. die Erfüllung des in § 5 Abs. 2 und 3 vorgesehenen Mindestanteils für die Nutzung von Biomasse und die Anforderungen an gelieferte Biomasse nach Maßgabe des Absatzes 2,</w:t>
      </w:r>
    </w:p>
    <w:p>
      <w:pPr>
        <w:ind w:left="420"/>
      </w:pPr>
      <w:r>
        <w:t xml:space="preserve">2. die Erfüllung der sonstigen Anforderungen nach den Nummern I bis VIII der Anlage zu diesem Gesetz nach Maßgabe des Absatzes 3,</w:t>
      </w:r>
    </w:p>
    <w:p>
      <w:pPr>
        <w:ind w:left="420"/>
      </w:pPr>
      <w:r>
        <w:t xml:space="preserve">3. das Vorliegen einer Ausnahme nach § 9 Absatz 1 Nummer 1 nach Maßgabe des Absatzes 4</w:t>
      </w:r>
    </w:p>
    <w:p>
      <w:r>
        <w:t xml:space="preserve">nachweisen. Im Falle von öffentlichen Gebäuden müssen die Pflichten nach Satz 1 nicht erfüllt werden. Im Falle des § 6 gelten die Pflichten nach Satz 1 Nr. 1 und 2 als erfüllt, wenn sie bei mehreren Verpflichteten bereits durch einen Verpflichteten erfüllt werden. Im Falle des § 8 müssen die Pflichten nach Satz 1 Nr. 1 und 2 für die jeweils genutzten Erneuerbaren Energien oder durchgeführten Ersatzmaßnahmen erfüllt werden.</w:t>
      </w:r>
    </w:p>
    <w:p>
      <w:r>
        <w:t xml:space="preserve">(2) Die Verpflichteten müssen bei Nutzung von gelieferter</w:t>
      </w:r>
    </w:p>
    <w:p>
      <w:pPr>
        <w:ind w:left="420"/>
      </w:pPr>
      <w:r>
        <w:t xml:space="preserve">1. gasförmiger und flüssiger Biomasse die Abrechnungen des Brennstofflieferanten nach Maßgabe der Nummer II.4 der Anlage zu diesem Gesetz</w:t>
      </w:r>
    </w:p>
    <w:p>
      <w:pPr>
        <w:ind w:left="780"/>
      </w:pPr>
      <w:r>
        <w:t xml:space="preserve">a) für die ersten fünf Kalenderjahre ab dem Inbetriebnahmejahr der Heizungsanlage der zuständigen Behörde bis zum 30. Juni des jeweiligen Folgejahres vorlegen,</w:t>
      </w:r>
    </w:p>
    <w:p>
      <w:pPr>
        <w:ind w:left="780"/>
      </w:pPr>
      <w:r>
        <w:t xml:space="preserve">b) für die folgenden zehn Kalenderjahre</w:t>
      </w:r>
    </w:p>
    <w:p>
      <w:pPr>
        <w:ind w:left="1140"/>
      </w:pPr>
      <w:r>
        <w:t xml:space="preserve">aa) jeweils mindestens fünf Jahre ab dem Zeitpunkt der Lieferung aufbewahren und</w:t>
      </w:r>
    </w:p>
    <w:p>
      <w:pPr>
        <w:ind w:left="1140"/>
      </w:pPr>
      <w:r>
        <w:t xml:space="preserve">bb) der zuständigen Behörde auf Verlangen vorlegen,</w:t>
      </w:r>
    </w:p>
    <w:p>
      <w:pPr>
        <w:ind w:left="420"/>
      </w:pPr>
      <w:r>
        <w:t xml:space="preserve">2. fester Biomasse die Abrechnungen des Brennstofflieferanten für die ersten 15 Jahre ab dem Inbetriebnahmejahr der Heizungsanlage</w:t>
      </w:r>
    </w:p>
    <w:p>
      <w:pPr>
        <w:ind w:left="780"/>
      </w:pPr>
      <w:r>
        <w:t xml:space="preserve">a) jeweils mindestens fünf Jahre ab dem Zeitpunkt der Lieferung aufbewahren und</w:t>
      </w:r>
    </w:p>
    <w:p>
      <w:pPr>
        <w:ind w:left="780"/>
      </w:pPr>
      <w:r>
        <w:t xml:space="preserve">b) der zuständigen Behörde auf Verlangen vorlegen.</w:t>
      </w:r>
    </w:p>
    <w:p>
      <w:r>
        <w:t xml:space="preserve">(3) Die Verpflichteten müssen zum Nachweis der Erfüllung der Anforderungen nach den Nummern I bis VIII der Anlage zu diesem Gesetz die Nachweise nach Satz 2</w:t>
      </w:r>
    </w:p>
    <w:p>
      <w:pPr>
        <w:ind w:left="420"/>
      </w:pPr>
      <w:r>
        <w:t xml:space="preserve">1. der zuständigen Behörde innerhalb von drei Monaten ab dem Inbetriebnahmejahr der Heizungsanlage des Gebäudes und danach auf Verlangen vorlegen und</w:t>
      </w:r>
    </w:p>
    <w:p>
      <w:pPr>
        <w:ind w:left="420"/>
      </w:pPr>
      <w:r>
        <w:t xml:space="preserve">2. mindestens fünf Jahre ab dem Inbetriebnahmejahr der Heizungsanlage aufbewahren, wenn die Nachweise nicht bei der Behörde verwahrt werden.</w:t>
      </w:r>
    </w:p>
    <w:p>
      <w:r>
        <w:t xml:space="preserve">Nachweise nach Satz 1 sind die in den Nummern I.2, II.5, III.3, IV.2, V.5, VI.3, VII.5 und VIII.2 der Anlage zu diesem Gesetz jeweils angegebenen Nachweise, sofern die Rechtsverordnung nach Absatz 6 Satz 3 Nummer 3 keine abweichenden Nachweise festlegt; Herkunftsnachweise für Wärme oder Kälte aus Erneuerbaren Energien nach Artikel 15 der Richtlinie 2009/28/EG gelten nicht als Nachweise nach Satz 1. Satz 1 gilt nicht, wenn die Tatsachen, die mit den Nachweisen nachgewiesen werden sollen, der zuständigen Behörde bereits bekannt sind.</w:t>
      </w:r>
    </w:p>
    <w:p>
      <w:r>
        <w:t xml:space="preserve">(4) Die Verpflichteten müssen im Falle des Vorliegens einer Ausnahme nach § 9 Absatz 1 Nummer 1 der zuständigen Behörde innerhalb von drei Monaten ab der Inbetriebnahme der Heizungsanlage anzeigen, dass die Erfüllung der Pflicht nach § 3 Abs. 1 und die Durchführung von Ersatzmaßnahmen nach § 7 öffentlich-rechtlichen Vorschriften widersprechen oder technisch unmöglich sind. Im Falle eines Widerspruchs zu öffentlich-rechtlichen Pflichten gilt dies nicht, wenn die zuständige Behörde bereits Kenntnis von den Tatsachen hat, die den Widerspruch zu diesen Pflichten begründen. Im Falle einer technischen Unmöglichkeit ist der Behörde mit der Anzeige eine Bescheinigung eines Sachkundigen vorzulegen.</w:t>
      </w:r>
    </w:p>
    <w:p>
      <w:r>
        <w:t xml:space="preserve">(5) Es ist verboten, in einem Nachweis, einer Anzeige oder einer Bescheinigung nach den Absätzen 2 bis 4 unrichtige oder unvollständige Angaben zu machen.</w:t>
      </w:r>
    </w:p>
    <w:p>
      <w:r>
        <w:t xml:space="preserve">(6) Das Bundesministerium für Wirtschaft und Energie wird ermächtigt, zur Vereinfachung und Vereinheitlichung des Nachweisverfahrens im Einvernehmen mit dem Bundesministerium des Innern, für Bau und Heimat durch Rechtsverordnung mit Zustimmung des Bundesrates Formulare für Nachweise, Anzeigen oder Bescheinigungen nach den Absätzen 2 bis 4 einzuführen. Dies gilt nicht für Nachweise nach Nummer VII.5 der Anlage zu diesem Gesetz. In der Rechtsverordnung nach Satz 1 kann vorgesehen werden, dass</w:t>
      </w:r>
    </w:p>
    <w:p>
      <w:pPr>
        <w:ind w:left="420"/>
      </w:pPr>
      <w:r>
        <w:t xml:space="preserve">1. über die Nachweise, Anzeigen oder Bescheinigungen nach den Absätzen 2 bis 4 hinaus weitere Daten gegenüber der Behörde nachgewiesen werden müssen, soweit dies für die Überwachung der Pflicht nach § 3 Absatz 1 oder für ihr Entfallen nach § 9 Absatz 1 Nummer 1 erforderlich ist; dies schließt Regelungen zum Schutz personenbezogener Daten ein,</w:t>
      </w:r>
    </w:p>
    <w:p>
      <w:pPr>
        <w:ind w:left="420"/>
      </w:pPr>
      <w:r>
        <w:t xml:space="preserve">2. in den Nachweisen der Anteil der Erneuerbaren Energien am Wärme- und Kälteenergiebedarf des Gebäudes ausgewiesen werden muss; werden Wärmepumpen genutzt, ist der Anteil nach Maßgabe des Anhangs VII der Richtlinie 2009/28/EG zu berechnen,</w:t>
      </w:r>
    </w:p>
    <w:p>
      <w:pPr>
        <w:ind w:left="420"/>
      </w:pPr>
      <w:r>
        <w:t xml:space="preserve">3. abweichend von den Nachweisen, die in den Nummern I.2, II.5, III.3, IV.2, V.5, VI.3 und VIII.2 der Anlage zu diesem Gesetz jeweils angegeben sind, andere Nachweise nach Absatz 3 der zuständigen Behörde vorgelegt und aufbewahrt werden müssen.</w:t>
      </w:r>
    </w:p>
    <w:p>
      <w:r>
        <w:rPr>
          <w:color w:val="555555"/>
          <w:sz w:val="17"/>
        </w:rPr>
        <w:t xml:space="preserve">Zitiervorschlag: § 10 EEWärmeG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https://recht.nulegal.eu/gesetze/EEW%C3%A4rmeG/10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EEWärmeG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