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EEMD-ZVAnl II — Aufrechnungs- und Zurückbehaltungsrechte, Verbot der Besicherung</w:t>
      </w:r>
    </w:p>
    <w:p>
      <w:r>
        <w:rPr>
          <w:color w:val="555555"/>
          <w:sz w:val="18"/>
        </w:rPr>
        <w:t xml:space="preserve">EETS-Zulassungsvertrag</w:t>
      </w:r>
    </w:p>
    <w:p>
      <w:r>
        <w:rPr>
          <w:color w:val="555555"/>
          <w:sz w:val="18"/>
        </w:rPr>
        <w:t xml:space="preserve">Stand: 01.03.2022 (konsolidierte Textfassung, kein amtliches Inkrafttretensdatum)</w:t>
      </w:r>
    </w:p>
    <w:p>
      <w:r>
        <w:t xml:space="preserve">(1) Dem Anbieter steht hinsichtlich der an den Mauterheber auszukehrenden Mauteinnahmen weder ein Aufrechnungs- noch ein Zurückbehaltungsrecht zu. Eine Aufrechnung oder Verrechnung der Ansprüche des Mauterhebers auf Auskehr von Mauteinnahmen oder Zahlung entsprechender Beträge mit Ansprüchen des Anbieters gegen den Mauterheber – insbesondere mit dem Vergütungsanspruch gemäß § 20 – ist nicht gestattet. Satz 1 und 2 gelten nicht für unbestrittene oder rechtskräftig festgestellte Forderungen des Anbieters gegen den Mauterheber.</w:t>
      </w:r>
    </w:p>
    <w:p>
      <w:r>
        <w:t xml:space="preserve">(2) Dem Anbieter ist es untersagt, die dem Mauterheber zustehenden Mauteinnahmen zum Gegenstand einer Verpfändung oder Besicherung zu machen oder auf sonstige Weise mit Rechten Dritter zu belasten.</w:t>
      </w:r>
    </w:p>
    <w:p>
      <w:r>
        <w:rPr>
          <w:color w:val="555555"/>
          <w:sz w:val="17"/>
        </w:rPr>
        <w:t xml:space="preserve">Zitiervorschlag: § 9 EEMD-ZVAnl II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https://recht.nulegal.eu/gesetze/EEMD-ZVAnl%20II/9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