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EEMD-ZVAnl II — Abtretungsverbot und Verbot der Schuld- und Vertragsübernahme</w:t>
      </w:r>
    </w:p>
    <w:p>
      <w:r>
        <w:rPr>
          <w:color w:val="555555"/>
          <w:sz w:val="18"/>
        </w:rPr>
        <w:t xml:space="preserve">EETS-Zulassungsvertrag</w:t>
      </w:r>
    </w:p>
    <w:p>
      <w:r>
        <w:rPr>
          <w:color w:val="555555"/>
          <w:sz w:val="18"/>
        </w:rPr>
        <w:t xml:space="preserve">Stand: 01.03.2022 (konsolidierte Textfassung, kein amtliches Inkrafttretensdatum)</w:t>
      </w:r>
    </w:p>
    <w:p>
      <w:r>
        <w:t xml:space="preserve">Der Anbieter ist nicht berechtigt, ohne vorherige schriftliche Zustimmung des Mauterhebers Rechte aus diesem Vertrag an Dritte abzutreten oder zu verpfänden. Dies gilt auch für die schuldbefreiende Übernahme von Verpflichtungen des Anbieters aus diesem Vertrag durch Dritte sowie eine vollständige Vertragsübernahme dieses Vertrages vom Anbieter durch Dritte. Die Erteilung der Zustimmung steht im freien Ermessen des Mauterhebers.</w:t>
      </w:r>
    </w:p>
    <w:p>
      <w:r>
        <w:rPr>
          <w:color w:val="555555"/>
          <w:sz w:val="17"/>
        </w:rPr>
        <w:t xml:space="preserve">Zitiervorschlag: § 8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