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EEMD-ZVAnl II — Schriftform</w:t>
      </w:r>
    </w:p>
    <w:p>
      <w:r>
        <w:rPr>
          <w:color w:val="555555"/>
          <w:sz w:val="18"/>
        </w:rPr>
        <w:t xml:space="preserve">EETS-Zulassungsvertrag</w:t>
      </w:r>
    </w:p>
    <w:p>
      <w:r>
        <w:rPr>
          <w:color w:val="555555"/>
          <w:sz w:val="18"/>
        </w:rPr>
        <w:t xml:space="preserve">Stand: 26.04.2022 (konsolidierte Textfassung, kein amtliches Inkrafttretensdatum)</w:t>
      </w:r>
    </w:p>
    <w:p>
      <w:r>
        <w:t xml:space="preserve">Änderungen und Ergänzungen dieses Vertrages bedürfen der Schriftform, soweit nicht eine notarielle Beurkundung gesetzlich erforderlich ist. Dies gilt auch für die Aufhebung des Schriftformerfordernisses. Die Anwendung von § 126 Absatz 3 BGB ist ausgeschlossen. Sämtliche Änderungen und Ergänzungen sind in deutscher Sprache abzufassen.</w:t>
      </w:r>
    </w:p>
    <w:p>
      <w:r>
        <w:rPr>
          <w:color w:val="555555"/>
          <w:sz w:val="17"/>
        </w:rPr>
        <w:t xml:space="preserve">Zitiervorschlag: § 36 EEMD-ZVAnl 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https://recht.nulegal.eu/gesetze/EEMD-ZVAnl%20II/36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EEMD-ZVAnl II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