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EEMD-ZVAnl II — Anwendbares Recht und Gerichtsstand</w:t>
      </w:r>
    </w:p>
    <w:p>
      <w:r>
        <w:rPr>
          <w:color w:val="555555"/>
          <w:sz w:val="18"/>
        </w:rPr>
        <w:t xml:space="preserve">EETS-Zulassungsvertrag</w:t>
      </w:r>
    </w:p>
    <w:p>
      <w:r>
        <w:rPr>
          <w:color w:val="555555"/>
          <w:sz w:val="18"/>
        </w:rPr>
        <w:t xml:space="preserve">Stand: 01.03.2022 (konsolidierte Textfassung, kein amtliches Inkrafttretensdatum)</w:t>
      </w:r>
    </w:p>
    <w:p>
      <w:r>
        <w:t xml:space="preserve">(1) Dieser Vertrag und seine Auslegung unterliegen deutschem Recht unter Ausschluss der kollisionsrechtlichen Vorschriften und der United Nations Convention on the International Sales of Goods (UNCISG).</w:t>
      </w:r>
    </w:p>
    <w:p>
      <w:r>
        <w:t xml:space="preserve">(2) Ausschließlicher Gerichtsstand ist Köln.</w:t>
      </w:r>
    </w:p>
    <w:p>
      <w:r>
        <w:rPr>
          <w:color w:val="555555"/>
          <w:sz w:val="17"/>
        </w:rPr>
        <w:t xml:space="preserve">Zitiervorschlag: § 34 EEMD-ZVAnl II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https://recht.nulegal.eu/gesetze/EEMD-ZVAnl%20II/34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