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33 EEMD-ZVAnl II — Streitbeilegung</w:t>
      </w:r>
    </w:p>
    <w:p>
      <w:r>
        <w:rPr>
          <w:color w:val="555555"/>
          <w:sz w:val="18"/>
        </w:rPr>
        <w:t xml:space="preserve">EETS-Zulassungsvertrag</w:t>
      </w:r>
    </w:p>
    <w:p>
      <w:r>
        <w:rPr>
          <w:color w:val="555555"/>
          <w:sz w:val="18"/>
        </w:rPr>
        <w:t xml:space="preserve">Stand: 01.03.2022 (konsolidierte Textfassung, kein amtliches Inkrafttretensdatum)</w:t>
      </w:r>
    </w:p>
    <w:p>
      <w:r>
        <w:t xml:space="preserve">(1) Den Vertragsparteien steht es frei, im Falle von Streitigkeiten über den Inhalt oder die Auslegung dieses Vertrages die Vermittlungsstelle nach den §§ 28 bis 30 MautSysG anzurufen.</w:t>
      </w:r>
    </w:p>
    <w:p>
      <w:r>
        <w:t xml:space="preserve">(2) Die Anrufung der Vermittlungsstelle hindert nicht die Inanspruchnahme von behördlichen oder gerichtlichen Rechtsschutzmöglichkeiten in der Bundesrepublik Deutschland oder der Europäischen Union.</w:t>
      </w:r>
    </w:p>
    <w:p>
      <w:r>
        <w:rPr>
          <w:color w:val="555555"/>
          <w:sz w:val="17"/>
        </w:rPr>
        <w:t xml:space="preserve">Zitiervorschlag: § 33 EEMD-ZVAnl II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https://recht.nulegal.eu/gesetze/EEMD-ZVAnl%20II/33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33 EEMD-ZVAnl II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