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32 EEMD-ZVAnl II — Höhere Gewalt</w:t>
      </w:r>
    </w:p>
    <w:p>
      <w:r>
        <w:rPr>
          <w:color w:val="555555"/>
          <w:sz w:val="18"/>
        </w:rPr>
        <w:t xml:space="preserve">EETS-Zulassungsvertrag</w:t>
      </w:r>
    </w:p>
    <w:p>
      <w:r>
        <w:rPr>
          <w:color w:val="555555"/>
          <w:sz w:val="18"/>
        </w:rPr>
        <w:t xml:space="preserve">Stand: 01.03.2022 (konsolidierte Textfassung, kein amtliches Inkrafttretensdatum)</w:t>
      </w:r>
    </w:p>
    <w:p>
      <w:r>
        <w:t xml:space="preserve">Wird einer Vertragspartei die Erfüllung einer ihr nach diesem Vertrag obliegenden Verpflichtung infolge höherer Gewalt oder anderer objektiv unabwendbarer Ereignisse zeitweise oder dauernd unmöglich, informiert sie die andere Vertragspartei unverzüglich schriftlich hierüber. Die betroffenen Rechte und Pflichten der Vertragsparteien ruhen für den entsprechenden Zeitraum. Das Recht zur Kündigung bleibt durch diese Regelung unberührt.</w:t>
      </w:r>
    </w:p>
    <w:p>
      <w:r>
        <w:rPr>
          <w:color w:val="555555"/>
          <w:sz w:val="17"/>
        </w:rPr>
        <w:t xml:space="preserve">Zitiervorschlag: § 32 EEMD-ZVAnl II</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https://recht.nulegal.eu/gesetze/EEMD-ZVAnl%20II/32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32 EEMD-ZVAnl II</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