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EEMD-ZVAnl II — Vertragsanpassungen</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ist verpflichtet, mit dem Mauterheber diejenigen Änderungen und Ergänzungen zu diesem Vertrag zu vereinbaren, die aufgrund von Änderungen des geltenden Rechts erforderlich sind. Stimmt der Anbieter den erforderlichen Vertragsanpassungen oder -ergänzungen nicht oder nicht innerhalb angemessener Frist zu, ist der Mauterheber zur Kündigung dieses Vertrages ohne Einhaltung einer Frist berechtigt. § 28 Absatz 4 gilt entsprechend.</w:t>
      </w:r>
    </w:p>
    <w:p>
      <w:r>
        <w:t xml:space="preserve">(2) Unabhängig vom Wirksamwerden von Vertragsänderungen und -ergänzungen hat der Anbieter die sich aus der Änderung geltenden Rechts ergebenden Verpflichtungen zu erfüllen.</w:t>
      </w:r>
    </w:p>
    <w:p>
      <w:r>
        <w:rPr>
          <w:color w:val="555555"/>
          <w:sz w:val="17"/>
        </w:rPr>
        <w:t xml:space="preserve">Zitiervorschlag: § 31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