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EEMD-ZVAnl II — Sperrung von Bordgeräten</w:t>
      </w:r>
    </w:p>
    <w:p>
      <w:r>
        <w:rPr>
          <w:color w:val="555555"/>
          <w:sz w:val="18"/>
        </w:rPr>
        <w:t xml:space="preserve">EETS-Zulassungsvertrag</w:t>
      </w:r>
    </w:p>
    <w:p>
      <w:r>
        <w:rPr>
          <w:color w:val="555555"/>
          <w:sz w:val="18"/>
        </w:rPr>
        <w:t xml:space="preserve">Stand: 01.03.2022 (konsolidierte Textfassung, kein amtliches Inkrafttretensdatum)</w:t>
      </w:r>
    </w:p>
    <w:p>
      <w:r>
        <w:t xml:space="preserve">Im Fall der Kündigung dieses Vertrages durch eine Vertragspartei muss der Anbieter alle von seinen Nutzern im Rahmen ihrer Vertragsverhältnisse mit dem Anbieter verwendeten Bordgeräte für die Nutzung im EETS-Gebiet BFStrMG spätestens bis zum Ablauf der Kündigungsfrist, bei fristloser Kündigung unverzüglich, sperren. Im Falle der Insolvenz oder drohender Insolvenz des Anbieters muss der Anbieter die Bordgeräte nach Satz 1 unverzüglich sperren.</w:t>
      </w:r>
    </w:p>
    <w:p>
      <w:r>
        <w:rPr>
          <w:color w:val="555555"/>
          <w:sz w:val="17"/>
        </w:rPr>
        <w:t xml:space="preserve">Zitiervorschlag: § 30 EEMD-ZVAnl II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https://recht.nulegal.eu/gesetze/EEMD-ZVAnl%20II/30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