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EEMD-ZVAnl II — Vertragsbestandteile</w:t>
      </w:r>
    </w:p>
    <w:p>
      <w:r>
        <w:rPr>
          <w:color w:val="555555"/>
          <w:sz w:val="18"/>
        </w:rPr>
        <w:t xml:space="preserve">EETS-Zulassungsvertrag</w:t>
      </w:r>
    </w:p>
    <w:p>
      <w:r>
        <w:rPr>
          <w:color w:val="555555"/>
          <w:sz w:val="18"/>
        </w:rPr>
        <w:t xml:space="preserve">Stand: 01.03.2022 (konsolidierte Textfassung, kein amtliches Inkrafttretensdatum)</w:t>
      </w:r>
    </w:p>
    <w:p>
      <w:r>
        <w:t xml:space="preserve">(1) Bestandteile dieses Vertrages sind</w:t>
      </w:r>
    </w:p>
    <w:p>
      <w:pPr>
        <w:ind w:left="420"/>
      </w:pPr>
      <w:r>
        <w:t xml:space="preserve">1. die Zusatzvereinbarung [Anlage 1],</w:t>
      </w:r>
    </w:p>
    <w:p>
      <w:pPr>
        <w:ind w:left="420"/>
      </w:pPr>
      <w:r>
        <w:t xml:space="preserve">2. die Bankgarantie oder das gleichwertige Finanzinstrument [Anlage 2],</w:t>
      </w:r>
    </w:p>
    <w:p>
      <w:pPr>
        <w:ind w:left="420"/>
      </w:pPr>
      <w:r>
        <w:t xml:space="preserve">3. die Erklärung zur Beteiligungsstruktur des Anbieters [Anlage 3],</w:t>
      </w:r>
    </w:p>
    <w:p>
      <w:pPr>
        <w:ind w:left="420"/>
      </w:pPr>
      <w:r>
        <w:t xml:space="preserve">4. die Gebrauchstauglichkeitsbescheinigung, ausgestellt durch den Mauterheber oder eine notifizierte Stelle [Anlage 4],</w:t>
      </w:r>
    </w:p>
    <w:p>
      <w:pPr>
        <w:ind w:left="420"/>
      </w:pPr>
      <w:r>
        <w:t xml:space="preserve">5. die Qualitätsparameter für EETS-Anbieter [Anlage 5],</w:t>
      </w:r>
    </w:p>
    <w:p>
      <w:pPr>
        <w:ind w:left="420"/>
      </w:pPr>
      <w:r>
        <w:t xml:space="preserve">6. die Entgeltordnung [Anlage 6],</w:t>
      </w:r>
    </w:p>
    <w:p>
      <w:pPr>
        <w:ind w:left="420"/>
      </w:pPr>
      <w:r>
        <w:t xml:space="preserve">7. das Glossar [Anlage 7],</w:t>
      </w:r>
    </w:p>
    <w:p>
      <w:pPr>
        <w:ind w:left="420"/>
      </w:pPr>
      <w:r>
        <w:t xml:space="preserve">8. gegebenenfalls Erklärungen/ Schriftwechsel [Anlage 8] und</w:t>
      </w:r>
    </w:p>
    <w:p>
      <w:pPr>
        <w:ind w:left="420"/>
      </w:pPr>
      <w:r>
        <w:t xml:space="preserve">9. die Regelungen zur Vergütung [Anlage 9].</w:t>
      </w:r>
    </w:p>
    <w:p>
      <w:r>
        <w:t xml:space="preserve">(2) Bei Widersprüchen in diesem Vertrag gelten nacheinander</w:t>
      </w:r>
    </w:p>
    <w:p>
      <w:pPr>
        <w:ind w:left="420"/>
      </w:pPr>
      <w:r>
        <w:t xml:space="preserve">1. dieser Vertrag,</w:t>
      </w:r>
    </w:p>
    <w:p>
      <w:pPr>
        <w:ind w:left="420"/>
      </w:pPr>
      <w:r>
        <w:t xml:space="preserve">2. die Zusatzvereinbarung [Anlage 1],</w:t>
      </w:r>
    </w:p>
    <w:p>
      <w:pPr>
        <w:ind w:left="420"/>
      </w:pPr>
      <w:r>
        <w:t xml:space="preserve">3. gegebenenfalls Erklärungen/ Schriftwechsel [Anlage 8],</w:t>
      </w:r>
    </w:p>
    <w:p>
      <w:pPr>
        <w:ind w:left="420"/>
      </w:pPr>
      <w:r>
        <w:t xml:space="preserve">4. die Gebrauchstauglichkeitsbescheinigung, ausgestellt durch den Mauterheber oder eine notifizierte Stelle [Anlage 4] und</w:t>
      </w:r>
    </w:p>
    <w:p>
      <w:pPr>
        <w:ind w:left="420"/>
      </w:pPr>
      <w:r>
        <w:t xml:space="preserve">5. das Glossar [Anlage 7].</w:t>
      </w:r>
    </w:p>
    <w:p>
      <w:r>
        <w:rPr>
          <w:color w:val="555555"/>
          <w:sz w:val="17"/>
        </w:rPr>
        <w:t xml:space="preserve">Zitiervorschlag: § 2 EEMD-ZVAnl II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https://recht.nulegal.eu/gesetze/EEMD-ZVAnl%20II/2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