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EEMD-ZV</w:t>
      </w:r>
    </w:p>
    <w:p>
      <w:r>
        <w:rPr>
          <w:color w:val="555555"/>
          <w:sz w:val="18"/>
        </w:rPr>
        <w:t xml:space="preserve">EEMD-Zulassungsverordnung</w:t>
      </w:r>
    </w:p>
    <w:p>
      <w:r>
        <w:rPr>
          <w:color w:val="555555"/>
          <w:sz w:val="18"/>
        </w:rPr>
        <w:t xml:space="preserve">Stand: 19.01.2024 (konsolidierte Textfassung, kein amtliches Inkrafttretensdatum)</w:t>
      </w:r>
    </w:p>
    <w:p>
      <w:r>
        <w:t xml:space="preserve">Auf Grund des § 4h Satz 1 und 2 in Verbindung mit § 4d Absatz 2 und § 4f Absatz 2 des Bundesfernstraßenmautgesetzes vom 12. Juli 2011 (BGBl. I S. 1378), die durch Artikel 2 Nummer 3 des Gesetzes vom 5. Dezember 2014 (BGBl. I S. 1980) eingefügt worden sind, in Verbindung mit § 1 Nummer 1 der BAG-Übertragungsverordnung vom 14. Januar 2016 (BAnz AT vom 26.01.2016 V1), verordnet das Bundesamt für Güterverkehr:</w:t>
      </w:r>
    </w:p>
    <w:p>
      <w:r>
        <w:rPr>
          <w:color w:val="555555"/>
          <w:sz w:val="17"/>
        </w:rPr>
        <w:t xml:space="preserve">Zitiervorschlag: Eingangsformel EEMD-ZV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https://recht.nulegal.eu/gesetze/EEMD-ZV/eingangsformel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