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EEMD-ZV — Inkrafttreten</w:t>
      </w:r>
    </w:p>
    <w:p>
      <w:r>
        <w:rPr>
          <w:color w:val="555555"/>
          <w:sz w:val="18"/>
        </w:rPr>
        <w:t xml:space="preserve">EEMD-Zulassungsverordnung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EEMD-ZV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https://recht.nulegal.eu/gesetze/EEMD-ZV/2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