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EEMD-ZV — Prüfvereinbarung und Zulassungsvertrag</w:t>
      </w:r>
    </w:p>
    <w:p>
      <w:r>
        <w:rPr>
          <w:color w:val="555555"/>
          <w:sz w:val="18"/>
        </w:rPr>
        <w:t xml:space="preserve">EEMD-Zulassungsverordnung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Prüfvereinbarung im Sinne des § 4d Absatz 2 des Bundesfernstraßenmautgesetzes ergibt sich aus der Anlage I zu dieser Verordnung. Der Zulassungsvertrag im Sinne des § 4f Absatz 2 des Bundesfernstraßenmautgesetzes ergibt sich aus der Anlage II zu dieser Verordnung.</w:t>
      </w:r>
    </w:p>
    <w:p>
      <w:r>
        <w:rPr>
          <w:color w:val="555555"/>
          <w:sz w:val="17"/>
        </w:rPr>
        <w:t xml:space="preserve">Zitiervorschlag: § 1 EEMD-ZV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https://recht.nulegal.eu/gesetze/EEMD-ZV/1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