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EEG NRW (Nordrhein-Westfalen) — Ersatz für entzogene Rechte</w:t>
      </w:r>
    </w:p>
    <w:p>
      <w:r>
        <w:rPr>
          <w:color w:val="555555"/>
          <w:sz w:val="18"/>
        </w:rPr>
        <w:t xml:space="preserve">Landesenteignungs- und -entschädigungsgesetz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Enteignung zu dem Zweck, durch Enteignung entzogene Rechte zu ersetzen, ist nur zulässig, soweit der Ersatz in den Vorschriften des Teils III vorgesehen ist. Für den Ersatz entzogener Rechte durch neue Rechte im Wege der Enteignung nach § 12 Abs. 2 Satz 3 gelten die in § 5 Abs. 1 und 2 für die Enteignung zur Entschädigung in Land getroffenen Vorschriften entsprechend.</w:t>
      </w:r>
    </w:p>
    <w:p>
      <w:r>
        <w:rPr>
          <w:color w:val="555555"/>
          <w:sz w:val="17"/>
        </w:rPr>
        <w:t xml:space="preserve">Zitiervorschlag: § 6 EEG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https://recht.nulegal.eu/gesetze/EEG%20NRW/6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