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 EEG NRW (Nordrhein-Westfalen) — Inkrafttreten</w:t>
      </w:r>
    </w:p>
    <w:p>
      <w:r>
        <w:rPr>
          <w:color w:val="555555"/>
          <w:sz w:val="18"/>
        </w:rPr>
        <w:t xml:space="preserve">Landesenteignungs- und -entschädigungsgesetz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Januar 1990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53 EEG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https://recht.nulegal.eu/gesetze/EEG%20NRW/53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