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46 EEG NRW (Nordrhein-Westfalen) — Zulässigkeit der Enteignung von Umsiedlungsflächen</w:t>
      </w:r>
    </w:p>
    <w:p>
      <w:r>
        <w:rPr>
          <w:color w:val="555555"/>
          <w:sz w:val="18"/>
        </w:rPr>
        <w:t xml:space="preserve">Landesenteignungs- und -entschädigungsgesetz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Braunkohlenplänen festgelegte unbebaute oder geringfügig bebaute Umsiedlungsflächen (§ 44 Absatz 2 Satz 3 des Gesetzes zur Neufassung des Landesplanungsgesetzes NRW) können nach diesem Gesetz enteignet werden, um dort bisherin festgelegten Abbau- und Aufschüttungsgebieten ansässige Personen und Unternehmungen sowie öffentlichen Zwecken dienende Einrichtungen in den Grenzen des Bedarfs anzusiedeln. Hierfür gelten die nachfolgenden §§ 47 bis 49 ergänzend.</w:t>
      </w:r>
    </w:p>
    <w:p>
      <w:r>
        <w:rPr>
          <w:color w:val="555555"/>
          <w:sz w:val="17"/>
        </w:rPr>
        <w:t xml:space="preserve">Zitiervorschlag: § 46 EEG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https://recht.nulegal.eu/gesetze/EEG%20NRW/46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