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EEG NRW (Nordrhein-Westfalen) — Entschädigung außerhalb der förmlichen Enteignung</w:t>
      </w:r>
    </w:p>
    <w:p>
      <w:r>
        <w:rPr>
          <w:color w:val="555555"/>
          <w:sz w:val="18"/>
        </w:rPr>
        <w:t xml:space="preserve">Landesenteignungs- und -entschädigungsgesetz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Ist allein wegen außerhalb der förmlichen Enteignung eingetretener Nachteile Entschädigung in Geld zu leisten, so gelten die Vorschriften des Teils III und des Abschnitts 1 dieses Teils entsprechend. Kommt eine Einigung nicht zustande, so können Entschädigungsberechtigter oder Entschädigungsverpflichteter bei der Enteignungsbehörde, in den Fällen des § 18 Abs. 1 Satz 2 bei der zuständigen Behörde, die Festsetzung der Entschädigung beantragen. Hat der Entschädigungsverpflichtete dem Entschädigungsberechtigten ein angemessenes Angebot unterbreitet, so ist § 10 Abs. 2 Nr. 3 entsprechend anzuwenden.</w:t>
      </w:r>
    </w:p>
    <w:p>
      <w:r>
        <w:t xml:space="preserve">Abschnitt 4</w:t>
      </w:r>
    </w:p>
    <w:p>
      <w:r>
        <w:t xml:space="preserve">Rückenteignung</w:t>
      </w:r>
    </w:p>
    <w:p>
      <w:r>
        <w:rPr>
          <w:color w:val="555555"/>
          <w:sz w:val="17"/>
        </w:rPr>
        <w:t xml:space="preserve">Zitiervorschlag: § 41 EEG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https://recht.nulegal.eu/gesetze/EEG%20NRW/41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