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EEG NRW (Nordrhein-Westfalen) — Übernahmeverfahren</w:t>
      </w:r>
    </w:p>
    <w:p>
      <w:r>
        <w:rPr>
          <w:color w:val="555555"/>
          <w:sz w:val="18"/>
        </w:rPr>
        <w:t xml:space="preserve">Landesenteignungs- und 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Hat der Eigentümer eines Grundstücks außerhalb eines Verfahrens nach Abschnitt 1 dieses Teils einen Anspruch auf Übernahme seines Grundstücks und kommt eine Einigung mit dem Übernahmeverpflichteten nicht zustande, so kann der Eigentümer bei der Enteigungsbehörde, in den Fällen des § 18 Abs. 1 Satz 2 bei der zuständigen Behörde, einen Antrag auf Entziehung des Eigentums stellen. Auf das Verfahren sind die Vorschriften des Teils III und des Abschnitts 1 dieses Teils entsprechend anzuwenden.</w:t>
      </w:r>
    </w:p>
    <w:p>
      <w:r>
        <w:rPr>
          <w:color w:val="555555"/>
          <w:sz w:val="17"/>
        </w:rPr>
        <w:t xml:space="preserve">Zitiervorschlag: § 40 EEG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https://recht.nulegal.eu/gesetze/EEG%20NRW/40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EEG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