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36 EEG NRW (Nordrhein-Westfalen) — Aufhebung des Enteignungsbeschlusses</w:t>
      </w:r>
    </w:p>
    <w:p>
      <w:r>
        <w:rPr>
          <w:color w:val="555555"/>
          <w:sz w:val="18"/>
        </w:rPr>
        <w:t xml:space="preserve">Landesenteignungs- und -entschädigungsgesetz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Ist die Ausführungsanordnung noch nicht ergangen, so hat die Enteignungsbehörde den Enteignungsbeschluß auf Antrag aufzuheben, wenn der durch die Enteignung Begünstigte die ihm durch den Enteignungsbeschluß auferlegten Zahlungen nicht innerhalb von zwei Monaten nach dem Zeitpunkt geleistet hat, in dem der Beschluß unanfechtbar geworden ist. Antragsberechtigt ist jeder Beteiligte, dem eine nicht gezahlte Entschädigung zusteht oder der nach § 12 Abs. 4 aus ihr zu befriedigen ist.</w:t>
      </w:r>
    </w:p>
    <w:p>
      <w:r>
        <w:t xml:space="preserve">(2) Ist der Aufhebungsbeschluß unanfechtbar, so übersendet die Enteignungsbehörde eine beglaubigte Abschrift dem Grundbuchamt und ersucht es, nach § 23 Abs. 1 Satz 6, § 25 Abs. 5 Satz 2 oder § 26 Abs. 5 Satz 4 im Grundbuch eingetragene Vermerke zu löschen.</w:t>
      </w:r>
    </w:p>
    <w:p>
      <w:r>
        <w:t xml:space="preserve">(3) Der Enteignungsbegünstigte hat für alle durch das Enteignungsverfahren entstandenen Vermögensnachteile angemessene Entschädigung in Geld zu leisten. § 41 findet Anwendung.</w:t>
      </w:r>
    </w:p>
    <w:p>
      <w:r>
        <w:t xml:space="preserve">Abschnitt 2</w:t>
      </w:r>
    </w:p>
    <w:p>
      <w:r>
        <w:t xml:space="preserve">Vorzeitige Besitzeinweisung, Vorarbeiten</w:t>
      </w:r>
    </w:p>
    <w:p>
      <w:r>
        <w:rPr>
          <w:color w:val="555555"/>
          <w:sz w:val="17"/>
        </w:rPr>
        <w:t xml:space="preserve">Zitiervorschlag: § 36 EEG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https://recht.nulegal.eu/gesetze/EEG%20NRW/36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36 EEG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