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EEG NRW (Nordrhein-Westfalen) — Ausführung des Enteignungsbeschlusses</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der Enteignungsbeschluß oder sind die Entscheidungen nach § 29 Abs. 2 nicht mehr anfechtbar, so ordnet auf Antrag eines Beteiligten die Enteignungsbehörde die Ausführung des Enteignungsbeschlusses oder der Vorabentscheidung an (Ausführungsanordnung), wenn der durch die Enteignung Begünstigte die Geldentschädigung, im Falle der Vorabentscheidung die nach § 29 Abs. 2 Satz 2 festgesetzte Vorauszahlung, gezahlt oder in zulässiger Weise unter Verzicht auf das Recht der Rücknahme hinterlegt hat. Auf Antrag des Entschädigungsberechtigten kann im Falle des § 29 Abs. 2 die Enteignungsbehörde die Ausführungsanordnung davon abhängig machen, daß der durch die Enteignung Begünstigte im übrigen für einen angemessenen Betrag Sicherheit leistet.</w:t>
      </w:r>
    </w:p>
    <w:p>
      <w:r>
        <w:t xml:space="preserve">(2) In den Fällen des § 28 ist auf Antrag eines Beteiligten die Ausführungsanordnung zu erlassen, wenn der durch die Enteignung Begünstigte den zwischen den Beteiligten unstreitigen Entschädigungsbetrag gezahlt oder in zulässiger Weise unter Verzicht auf das Recht der Rücknahme hinterlegt hat. Absatz 1 Satz 2 gilt entsprechend, soweit sich nicht aus der Einigung etwas anderes ergibt.</w:t>
      </w:r>
    </w:p>
    <w:p>
      <w:r>
        <w:t xml:space="preserve">(3) Im Falle des § 30 Abs. 3 ist auf Antrag eines Beteiligten die Ausführungsanordnung zu erlassen, wenn der durch die Enteignung Begünstigte die im Enteignungsbeschluß in Verbindung mit dem Nachtragsbeschluß festgesetzte Geldentschädigung gezahlt oder zulässigerweise unter Verzicht auf das Recht der Rücknahme hinterlegt hat. Der Nachtragsbeschluß braucht nicht unanfechtbar zu sein.</w:t>
      </w:r>
    </w:p>
    <w:p>
      <w:r>
        <w:t xml:space="preserve">(4) Die Ausführungsanordnung ist allen Beteiligten zuzustellen, deren Rechtsstellung durch den Enteignungsbeschluß betroffen wird. Die Ausführungsanordnung ist im Falle der Entziehung des Eigentums der Gemeinde abschriftlich mitzuteilen, in deren Bezirk das von der Enteignung betroffene Grundstück liegt. § 30 Abs. 4 gilt entsprechend.</w:t>
      </w:r>
    </w:p>
    <w:p>
      <w:r>
        <w:t xml:space="preserve">(5) Mit dem in der Ausführungsanordnung festzusetzenden Tag wird der bisherige Rechtszustand durch den im Enteignungsbeschluß geregelten neuen Rechtszustand ersetzt. Gleichzeitig entstehen die nach § 30 Abs. 1 Nr. 6 begründeten Rechtsverhältnisse; sie gelten von diesem Zeitpunkt an als zwischen den an dem Rechtsverhältnis Beteiligten vereinbart.</w:t>
      </w:r>
    </w:p>
    <w:p>
      <w:r>
        <w:t xml:space="preserve">(6) Die Ausführungsanordnung schließt die Einweisung in den Besitz des enteigneten Grundstücks und des Ersatzlands zu dem festgesetzten Tag ein.</w:t>
      </w:r>
    </w:p>
    <w:p>
      <w:r>
        <w:t xml:space="preserve">(7) Ist die Ausführungsanordnung unanfechtbar, so übersendet die Enteignungsbehörde dem Grundbuchamt eine beglaubigte Abschrift des Enteignungsbeschlusses und der Ausführungsanordnung und ersucht es, die Rechtsänderungen in das Grundbuch einzutragen und nach § 23 Abs. 1 Satz 6, § 25 Abs. 5 Satz 2 oder § 26 Abs. 5 Satz 4 eingetragene Vermerke zu löschen. Diese Vermerke sind auch dann zu löschen, wenn das Enteignungsverfahren beendet wird, ohne daß eine Ausführungsanordnung ergeht.</w:t>
      </w:r>
    </w:p>
    <w:p>
      <w:r>
        <w:rPr>
          <w:color w:val="555555"/>
          <w:sz w:val="17"/>
        </w:rPr>
        <w:t xml:space="preserve">Zitiervorschlag: § 33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